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97EB" w14:textId="77777777" w:rsidR="00FE1C27" w:rsidRDefault="00FE1C27"/>
    <w:tbl>
      <w:tblPr>
        <w:tblStyle w:val="TableGrid"/>
        <w:tblW w:w="0" w:type="auto"/>
        <w:tblLook w:val="04A0" w:firstRow="1" w:lastRow="0" w:firstColumn="1" w:lastColumn="0" w:noHBand="0" w:noVBand="1"/>
      </w:tblPr>
      <w:tblGrid>
        <w:gridCol w:w="4230"/>
        <w:gridCol w:w="6390"/>
      </w:tblGrid>
      <w:tr w:rsidR="00C804DE" w14:paraId="057D3122" w14:textId="77777777" w:rsidTr="00A61272">
        <w:tc>
          <w:tcPr>
            <w:tcW w:w="10620" w:type="dxa"/>
            <w:gridSpan w:val="2"/>
            <w:tcBorders>
              <w:top w:val="nil"/>
              <w:left w:val="nil"/>
              <w:bottom w:val="single" w:sz="4" w:space="0" w:color="auto"/>
              <w:right w:val="nil"/>
            </w:tcBorders>
          </w:tcPr>
          <w:p w14:paraId="76ADD2CE" w14:textId="77777777" w:rsidR="00C804DE" w:rsidRPr="00487F71" w:rsidRDefault="00C804DE" w:rsidP="006E1954">
            <w:pPr>
              <w:pStyle w:val="ListParagraph"/>
              <w:numPr>
                <w:ilvl w:val="0"/>
                <w:numId w:val="7"/>
              </w:numPr>
              <w:spacing w:line="276" w:lineRule="auto"/>
              <w:ind w:hanging="252"/>
              <w:rPr>
                <w:b/>
              </w:rPr>
            </w:pPr>
            <w:r w:rsidRPr="00487F71">
              <w:rPr>
                <w:b/>
              </w:rPr>
              <w:t>Institution and Course Information</w:t>
            </w:r>
          </w:p>
        </w:tc>
      </w:tr>
      <w:tr w:rsidR="00C804DE" w14:paraId="57651895" w14:textId="77777777" w:rsidTr="00A61272">
        <w:tc>
          <w:tcPr>
            <w:tcW w:w="4230" w:type="dxa"/>
            <w:tcBorders>
              <w:top w:val="single" w:sz="4" w:space="0" w:color="auto"/>
              <w:left w:val="nil"/>
              <w:bottom w:val="single" w:sz="4" w:space="0" w:color="D9D9D9" w:themeColor="background1" w:themeShade="D9"/>
              <w:right w:val="single" w:sz="4" w:space="0" w:color="D9D9D9"/>
            </w:tcBorders>
          </w:tcPr>
          <w:p w14:paraId="2ED2A86A" w14:textId="77777777" w:rsidR="00C804DE" w:rsidRPr="00C804DE" w:rsidRDefault="00C804DE" w:rsidP="00C443FD">
            <w:pPr>
              <w:spacing w:line="276" w:lineRule="auto"/>
            </w:pPr>
            <w:r>
              <w:t>Name of Institution</w:t>
            </w:r>
          </w:p>
        </w:tc>
        <w:tc>
          <w:tcPr>
            <w:tcW w:w="6390" w:type="dxa"/>
            <w:tcBorders>
              <w:top w:val="single" w:sz="4" w:space="0" w:color="auto"/>
              <w:left w:val="single" w:sz="4" w:space="0" w:color="D9D9D9"/>
              <w:bottom w:val="single" w:sz="4" w:space="0" w:color="D9D9D9" w:themeColor="background1" w:themeShade="D9"/>
              <w:right w:val="nil"/>
            </w:tcBorders>
          </w:tcPr>
          <w:p w14:paraId="6293B3C9" w14:textId="62E2F55B" w:rsidR="00C804DE" w:rsidRDefault="009267F0" w:rsidP="00C443FD">
            <w:pPr>
              <w:spacing w:line="276" w:lineRule="auto"/>
              <w:rPr>
                <w:b/>
              </w:rPr>
            </w:pPr>
            <w:r>
              <w:rPr>
                <w:b/>
              </w:rPr>
              <w:t>Navajo Technical University</w:t>
            </w:r>
          </w:p>
        </w:tc>
      </w:tr>
      <w:tr w:rsidR="00C804DE" w14:paraId="65BD7DC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5C6D01EA" w14:textId="77777777" w:rsidR="00C804DE" w:rsidRPr="00C804DE" w:rsidRDefault="00C804DE" w:rsidP="00C443FD">
            <w:pPr>
              <w:spacing w:line="276" w:lineRule="auto"/>
            </w:pPr>
            <w:r>
              <w:t>Department</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5CEF5C87" w14:textId="481D8BC6" w:rsidR="00C804DE" w:rsidRDefault="009267F0" w:rsidP="00C443FD">
            <w:pPr>
              <w:spacing w:line="276" w:lineRule="auto"/>
              <w:rPr>
                <w:b/>
              </w:rPr>
            </w:pPr>
            <w:r>
              <w:rPr>
                <w:b/>
              </w:rPr>
              <w:t>Mathematics</w:t>
            </w:r>
          </w:p>
        </w:tc>
      </w:tr>
      <w:tr w:rsidR="00C804DE" w14:paraId="2A9E77B4"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1905514" w14:textId="77777777" w:rsidR="00C804DE" w:rsidRPr="00C804DE" w:rsidRDefault="00C804DE" w:rsidP="00C443FD">
            <w:pPr>
              <w:spacing w:line="276" w:lineRule="auto"/>
            </w:pPr>
            <w:r>
              <w:t>Course Number, Title, Credits</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091CA2CE" w14:textId="6279B778" w:rsidR="00C804DE" w:rsidRDefault="009267F0" w:rsidP="00C443FD">
            <w:pPr>
              <w:spacing w:line="276" w:lineRule="auto"/>
              <w:rPr>
                <w:b/>
              </w:rPr>
            </w:pPr>
            <w:r>
              <w:rPr>
                <w:b/>
              </w:rPr>
              <w:t>MTH 121 College Algebra 4 credits</w:t>
            </w:r>
          </w:p>
        </w:tc>
      </w:tr>
      <w:tr w:rsidR="00C804DE" w14:paraId="6B2377FB"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1C62F714" w14:textId="77777777" w:rsidR="00C804DE" w:rsidRPr="00C804DE" w:rsidRDefault="00C804DE" w:rsidP="00C443FD">
            <w:pPr>
              <w:spacing w:line="276" w:lineRule="auto"/>
            </w:pPr>
            <w:r>
              <w:t>Co-requisite Course Number and Title, if any</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1BAD8712" w14:textId="77777777" w:rsidR="00C804DE" w:rsidRDefault="00C804DE" w:rsidP="00C443FD">
            <w:pPr>
              <w:spacing w:line="276" w:lineRule="auto"/>
              <w:rPr>
                <w:b/>
              </w:rPr>
            </w:pPr>
          </w:p>
        </w:tc>
      </w:tr>
      <w:tr w:rsidR="003263E1" w14:paraId="27319368" w14:textId="77777777" w:rsidTr="00A61272">
        <w:tc>
          <w:tcPr>
            <w:tcW w:w="4230" w:type="dxa"/>
            <w:tcBorders>
              <w:top w:val="single" w:sz="4" w:space="0" w:color="D9D9D9"/>
              <w:left w:val="nil"/>
              <w:bottom w:val="single" w:sz="4" w:space="0" w:color="D9D9D9" w:themeColor="background1" w:themeShade="D9"/>
              <w:right w:val="single" w:sz="4" w:space="0" w:color="D9D9D9"/>
            </w:tcBorders>
          </w:tcPr>
          <w:p w14:paraId="4ABECC19" w14:textId="77777777" w:rsidR="003263E1" w:rsidRDefault="003263E1" w:rsidP="003263E1">
            <w:pPr>
              <w:spacing w:line="276" w:lineRule="auto"/>
            </w:pPr>
            <w:r w:rsidRPr="003263E1">
              <w:t xml:space="preserve">Is this </w:t>
            </w:r>
            <w:r>
              <w:t>application for your</w:t>
            </w:r>
            <w:r w:rsidRPr="003263E1">
              <w:t xml:space="preserve"> system</w:t>
            </w:r>
            <w:r>
              <w:t xml:space="preserve"> (ENMU, NMSU, &amp; UNM)</w:t>
            </w:r>
            <w:r w:rsidRPr="003263E1">
              <w:t>?</w:t>
            </w:r>
          </w:p>
        </w:tc>
        <w:tc>
          <w:tcPr>
            <w:tcW w:w="6390" w:type="dxa"/>
            <w:tcBorders>
              <w:top w:val="single" w:sz="4" w:space="0" w:color="D9D9D9"/>
              <w:left w:val="single" w:sz="4" w:space="0" w:color="D9D9D9"/>
              <w:bottom w:val="single" w:sz="4" w:space="0" w:color="D9D9D9" w:themeColor="background1" w:themeShade="D9"/>
              <w:right w:val="nil"/>
            </w:tcBorders>
          </w:tcPr>
          <w:p w14:paraId="14A8B4ED" w14:textId="4482AB7B" w:rsidR="003263E1" w:rsidRDefault="009267F0" w:rsidP="00C443FD">
            <w:pPr>
              <w:spacing w:line="276" w:lineRule="auto"/>
              <w:rPr>
                <w:b/>
              </w:rPr>
            </w:pPr>
            <w:r>
              <w:rPr>
                <w:b/>
              </w:rPr>
              <w:t>NA</w:t>
            </w:r>
          </w:p>
        </w:tc>
      </w:tr>
      <w:tr w:rsidR="00B677DB" w14:paraId="125AF75F" w14:textId="77777777" w:rsidTr="00A61272">
        <w:tc>
          <w:tcPr>
            <w:tcW w:w="4230" w:type="dxa"/>
            <w:tcBorders>
              <w:top w:val="single" w:sz="4" w:space="0" w:color="D9D9D9" w:themeColor="background1" w:themeShade="D9"/>
              <w:left w:val="nil"/>
              <w:bottom w:val="single" w:sz="4" w:space="0" w:color="D9D9D9" w:themeColor="background1" w:themeShade="D9"/>
              <w:right w:val="single" w:sz="4" w:space="0" w:color="D9D9D9"/>
            </w:tcBorders>
          </w:tcPr>
          <w:p w14:paraId="33F0D62C" w14:textId="77777777" w:rsidR="00B677DB" w:rsidRDefault="00B677DB" w:rsidP="00C443FD">
            <w:pPr>
              <w:spacing w:line="276" w:lineRule="auto"/>
            </w:pPr>
            <w:r>
              <w:t>Name and Title of Contact Person</w:t>
            </w:r>
          </w:p>
        </w:tc>
        <w:tc>
          <w:tcPr>
            <w:tcW w:w="6390" w:type="dxa"/>
            <w:tcBorders>
              <w:top w:val="single" w:sz="4" w:space="0" w:color="D9D9D9" w:themeColor="background1" w:themeShade="D9"/>
              <w:left w:val="single" w:sz="4" w:space="0" w:color="D9D9D9"/>
              <w:bottom w:val="single" w:sz="4" w:space="0" w:color="D9D9D9" w:themeColor="background1" w:themeShade="D9"/>
              <w:right w:val="nil"/>
            </w:tcBorders>
          </w:tcPr>
          <w:p w14:paraId="39552436" w14:textId="4F63A4CC" w:rsidR="00B677DB" w:rsidRDefault="009267F0" w:rsidP="00C443FD">
            <w:pPr>
              <w:spacing w:line="276" w:lineRule="auto"/>
              <w:rPr>
                <w:b/>
              </w:rPr>
            </w:pPr>
            <w:r>
              <w:rPr>
                <w:b/>
              </w:rPr>
              <w:t>Carlos Paez-Paez</w:t>
            </w:r>
          </w:p>
        </w:tc>
      </w:tr>
      <w:tr w:rsidR="00B677DB" w14:paraId="5D9BD8C4" w14:textId="77777777" w:rsidTr="00A61272">
        <w:tc>
          <w:tcPr>
            <w:tcW w:w="4230" w:type="dxa"/>
            <w:tcBorders>
              <w:top w:val="single" w:sz="4" w:space="0" w:color="D9D9D9" w:themeColor="background1" w:themeShade="D9"/>
              <w:left w:val="nil"/>
              <w:bottom w:val="nil"/>
              <w:right w:val="single" w:sz="4" w:space="0" w:color="D9D9D9"/>
            </w:tcBorders>
          </w:tcPr>
          <w:p w14:paraId="46D0C37D" w14:textId="77777777" w:rsidR="00B677DB" w:rsidRDefault="00B677DB" w:rsidP="00C443FD">
            <w:pPr>
              <w:spacing w:line="276" w:lineRule="auto"/>
            </w:pPr>
            <w:r>
              <w:t>Email and Phone Number of Contact Person</w:t>
            </w:r>
          </w:p>
        </w:tc>
        <w:tc>
          <w:tcPr>
            <w:tcW w:w="6390" w:type="dxa"/>
            <w:tcBorders>
              <w:top w:val="single" w:sz="4" w:space="0" w:color="D9D9D9" w:themeColor="background1" w:themeShade="D9"/>
              <w:left w:val="single" w:sz="4" w:space="0" w:color="D9D9D9"/>
              <w:bottom w:val="nil"/>
              <w:right w:val="nil"/>
            </w:tcBorders>
          </w:tcPr>
          <w:p w14:paraId="51E8734B" w14:textId="4F6342E7" w:rsidR="00B677DB" w:rsidRDefault="009267F0" w:rsidP="00C443FD">
            <w:pPr>
              <w:spacing w:line="276" w:lineRule="auto"/>
              <w:rPr>
                <w:b/>
              </w:rPr>
            </w:pPr>
            <w:r>
              <w:rPr>
                <w:b/>
              </w:rPr>
              <w:t>cpaez@navajotech.edu; (505) 786-4100</w:t>
            </w:r>
          </w:p>
        </w:tc>
      </w:tr>
    </w:tbl>
    <w:p w14:paraId="3ED7ACD9" w14:textId="77777777" w:rsidR="00C804DE" w:rsidRDefault="00C804DE" w:rsidP="00C443FD">
      <w:pPr>
        <w:spacing w:after="0" w:line="276" w:lineRule="auto"/>
        <w:rPr>
          <w:b/>
        </w:rPr>
      </w:pPr>
    </w:p>
    <w:p w14:paraId="730ECBE8" w14:textId="77777777" w:rsidR="00C804DE" w:rsidRDefault="00C804DE" w:rsidP="00C443FD">
      <w:pPr>
        <w:spacing w:after="0" w:line="276" w:lineRule="auto"/>
        <w:rPr>
          <w:b/>
        </w:rPr>
      </w:pPr>
      <w:r>
        <w:rPr>
          <w:b/>
        </w:rPr>
        <w:t>Was this course previously part of the general education curriculum?</w:t>
      </w:r>
    </w:p>
    <w:p w14:paraId="19B183A3" w14:textId="6452F346" w:rsidR="00C804DE" w:rsidRDefault="00CC4DF6" w:rsidP="00C443FD">
      <w:pPr>
        <w:spacing w:after="0" w:line="276" w:lineRule="auto"/>
      </w:pPr>
      <w:sdt>
        <w:sdtPr>
          <w:rPr>
            <w:b/>
          </w:rPr>
          <w:id w:val="-575212646"/>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C804DE">
        <w:rPr>
          <w:b/>
        </w:rPr>
        <w:t xml:space="preserve">  </w:t>
      </w:r>
      <w:r w:rsidR="00C804DE">
        <w:t xml:space="preserve">Yes  </w:t>
      </w:r>
      <w:r w:rsidR="00C804DE">
        <w:tab/>
      </w:r>
      <w:sdt>
        <w:sdtPr>
          <w:rPr>
            <w:b/>
          </w:rPr>
          <w:id w:val="-79138889"/>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C804DE">
        <w:rPr>
          <w:b/>
        </w:rPr>
        <w:t xml:space="preserve">  </w:t>
      </w:r>
      <w:r w:rsidR="00243E7C">
        <w:t>No</w:t>
      </w:r>
    </w:p>
    <w:p w14:paraId="124CD0ED" w14:textId="77777777" w:rsidR="00A66C36" w:rsidRDefault="00A66C36" w:rsidP="00C443FD">
      <w:pPr>
        <w:spacing w:after="0" w:line="276" w:lineRule="auto"/>
      </w:pPr>
    </w:p>
    <w:p w14:paraId="308FF832" w14:textId="01C8E02D" w:rsidR="00A66C36" w:rsidRPr="00204E7B" w:rsidRDefault="00A66C36" w:rsidP="00C443FD">
      <w:pPr>
        <w:spacing w:after="0" w:line="276" w:lineRule="auto"/>
        <w:rPr>
          <w:b/>
        </w:rPr>
      </w:pPr>
      <w:r w:rsidRPr="00204E7B">
        <w:rPr>
          <w:b/>
        </w:rPr>
        <w:t>This course will fulfill general education requirements for (check all that apply):</w:t>
      </w:r>
    </w:p>
    <w:p w14:paraId="65F79887" w14:textId="3A03633B" w:rsidR="00A66C36" w:rsidRDefault="00CC4DF6" w:rsidP="00A66C36">
      <w:pPr>
        <w:spacing w:after="0" w:line="276" w:lineRule="auto"/>
      </w:pPr>
      <w:sdt>
        <w:sdtPr>
          <w:rPr>
            <w:b/>
          </w:rPr>
          <w:id w:val="914284720"/>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66C36">
        <w:rPr>
          <w:b/>
        </w:rPr>
        <w:t xml:space="preserve">  </w:t>
      </w:r>
      <w:r w:rsidR="00A66C36">
        <w:t xml:space="preserve">AA/AS/BA/BS </w:t>
      </w:r>
      <w:r w:rsidR="00A66C36">
        <w:tab/>
      </w:r>
      <w:sdt>
        <w:sdtPr>
          <w:rPr>
            <w:b/>
          </w:rPr>
          <w:id w:val="797269259"/>
          <w14:checkbox>
            <w14:checked w14:val="0"/>
            <w14:checkedState w14:val="2612" w14:font="MS Gothic"/>
            <w14:uncheckedState w14:val="2610" w14:font="MS Gothic"/>
          </w14:checkbox>
        </w:sdtPr>
        <w:sdtEndPr/>
        <w:sdtContent>
          <w:r w:rsidR="00A66C36">
            <w:rPr>
              <w:rFonts w:ascii="MS Gothic" w:eastAsia="MS Gothic" w:hAnsi="MS Gothic" w:hint="eastAsia"/>
              <w:b/>
            </w:rPr>
            <w:t>☐</w:t>
          </w:r>
        </w:sdtContent>
      </w:sdt>
      <w:r w:rsidR="00A66C36">
        <w:rPr>
          <w:b/>
        </w:rPr>
        <w:t xml:space="preserve">  AAS</w:t>
      </w:r>
    </w:p>
    <w:p w14:paraId="4A13BD89" w14:textId="1F6C4960" w:rsidR="00C443FD" w:rsidRDefault="00A66C36" w:rsidP="00C443FD">
      <w:pPr>
        <w:spacing w:after="0" w:line="276" w:lineRule="auto"/>
        <w:rPr>
          <w:b/>
        </w:rPr>
      </w:pPr>
      <w:r>
        <w:tab/>
      </w:r>
    </w:p>
    <w:tbl>
      <w:tblPr>
        <w:tblStyle w:val="PlainTable21"/>
        <w:tblW w:w="0" w:type="auto"/>
        <w:tblLook w:val="04A0" w:firstRow="1" w:lastRow="0" w:firstColumn="1" w:lastColumn="0" w:noHBand="0" w:noVBand="1"/>
      </w:tblPr>
      <w:tblGrid>
        <w:gridCol w:w="10795"/>
      </w:tblGrid>
      <w:tr w:rsidR="006E1954" w:rsidRPr="006E1954" w14:paraId="2970B752"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25B08E2" w14:textId="77777777" w:rsidR="006E1954" w:rsidRPr="006E1954" w:rsidRDefault="006E1954" w:rsidP="006E1954">
            <w:pPr>
              <w:pStyle w:val="ListParagraph"/>
              <w:numPr>
                <w:ilvl w:val="0"/>
                <w:numId w:val="7"/>
              </w:numPr>
              <w:spacing w:line="276" w:lineRule="auto"/>
              <w:ind w:hanging="270"/>
              <w:rPr>
                <w:b w:val="0"/>
              </w:rPr>
            </w:pPr>
            <w:r w:rsidRPr="006E1954">
              <w:t>Content Area and Essential Skills</w:t>
            </w:r>
          </w:p>
        </w:tc>
      </w:tr>
    </w:tbl>
    <w:p w14:paraId="643589F2" w14:textId="77777777" w:rsidR="00BC5E06" w:rsidRPr="00D50867" w:rsidRDefault="00BC5E06" w:rsidP="00C443FD">
      <w:pPr>
        <w:spacing w:after="0" w:line="276" w:lineRule="auto"/>
        <w:rPr>
          <w:i/>
        </w:rPr>
      </w:pPr>
      <w:r>
        <w:rPr>
          <w:b/>
        </w:rPr>
        <w:t>To which content area should this course be added</w:t>
      </w:r>
      <w:r w:rsidR="00C804DE">
        <w:rPr>
          <w:b/>
        </w:rPr>
        <w:t>?</w:t>
      </w:r>
      <w:r>
        <w:rPr>
          <w:b/>
        </w:rPr>
        <w:t xml:space="preserve"> </w:t>
      </w:r>
      <w:r>
        <w:rPr>
          <w:i/>
        </w:rPr>
        <w:t>Indicate “</w:t>
      </w:r>
      <w:r w:rsidR="00AC18A6">
        <w:rPr>
          <w:i/>
        </w:rPr>
        <w:t>Other</w:t>
      </w:r>
      <w:r>
        <w:rPr>
          <w:i/>
        </w:rPr>
        <w:t>” if the course is not associated with one of the six NM General Education content areas.</w:t>
      </w:r>
    </w:p>
    <w:p w14:paraId="74F9FBDA" w14:textId="2A32227E" w:rsidR="00C443FD" w:rsidRDefault="00CC4DF6" w:rsidP="00C443FD">
      <w:pPr>
        <w:spacing w:after="0" w:line="276" w:lineRule="auto"/>
        <w:jc w:val="center"/>
        <w:rPr>
          <w:b/>
        </w:rPr>
      </w:pPr>
      <w:sdt>
        <w:sdtPr>
          <w:rPr>
            <w:b/>
          </w:rPr>
          <w:id w:val="-492870836"/>
          <w14:checkbox>
            <w14:checked w14:val="0"/>
            <w14:checkedState w14:val="2612" w14:font="MS Gothic"/>
            <w14:uncheckedState w14:val="2610" w14:font="MS Gothic"/>
          </w14:checkbox>
        </w:sdtPr>
        <w:sdtEndPr/>
        <w:sdtContent>
          <w:r w:rsidR="00AC18A6">
            <w:rPr>
              <w:rFonts w:ascii="MS Gothic" w:eastAsia="MS Gothic" w:hAnsi="MS Gothic" w:hint="eastAsia"/>
              <w:b/>
            </w:rPr>
            <w:t>☐</w:t>
          </w:r>
        </w:sdtContent>
      </w:sdt>
      <w:r w:rsidR="00AC18A6">
        <w:rPr>
          <w:b/>
        </w:rPr>
        <w:t xml:space="preserve"> </w:t>
      </w:r>
      <w:r w:rsidR="00BC5E06" w:rsidRPr="00BC5E06">
        <w:t>Communications</w:t>
      </w:r>
      <w:r w:rsidR="00C443FD">
        <w:tab/>
      </w:r>
      <w:r w:rsidR="00C804DE">
        <w:t xml:space="preserve"> </w:t>
      </w:r>
      <w:sdt>
        <w:sdtPr>
          <w:rPr>
            <w:b/>
          </w:rPr>
          <w:id w:val="-1592845584"/>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rsidRPr="00BC5E06">
        <w:t>Mathematics</w:t>
      </w:r>
      <w:r w:rsidR="00C443FD">
        <w:tab/>
      </w:r>
      <w:r w:rsidR="00C804DE">
        <w:t xml:space="preserve"> </w:t>
      </w:r>
      <w:sdt>
        <w:sdtPr>
          <w:rPr>
            <w:b/>
          </w:rPr>
          <w:id w:val="-1546438140"/>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Science</w:t>
      </w:r>
      <w:r w:rsidR="00C804DE">
        <w:t xml:space="preserve"> </w:t>
      </w:r>
      <w:r w:rsidR="00C443FD">
        <w:tab/>
      </w:r>
      <w:sdt>
        <w:sdtPr>
          <w:rPr>
            <w:b/>
          </w:rPr>
          <w:id w:val="-19316235"/>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t>Social &amp; Behavioral Sciences</w:t>
      </w:r>
    </w:p>
    <w:p w14:paraId="353FCC76" w14:textId="77777777" w:rsidR="00C804DE" w:rsidRDefault="00CC4DF6" w:rsidP="00C443FD">
      <w:pPr>
        <w:spacing w:after="0" w:line="276" w:lineRule="auto"/>
        <w:jc w:val="center"/>
      </w:pPr>
      <w:sdt>
        <w:sdtPr>
          <w:rPr>
            <w:b/>
          </w:rPr>
          <w:id w:val="-1294905876"/>
          <w14:checkbox>
            <w14:checked w14:val="0"/>
            <w14:checkedState w14:val="2612" w14:font="MS Gothic"/>
            <w14:uncheckedState w14:val="2610" w14:font="MS Gothic"/>
          </w14:checkbox>
        </w:sdtPr>
        <w:sdtEndPr/>
        <w:sdtContent>
          <w:r w:rsidR="00C804DE">
            <w:rPr>
              <w:rFonts w:ascii="MS Gothic" w:eastAsia="MS Gothic" w:hAnsi="MS Gothic" w:hint="eastAsia"/>
              <w:b/>
            </w:rPr>
            <w:t>☐</w:t>
          </w:r>
        </w:sdtContent>
      </w:sdt>
      <w:r w:rsidR="00AC18A6">
        <w:rPr>
          <w:b/>
        </w:rPr>
        <w:t xml:space="preserve"> </w:t>
      </w:r>
      <w:r w:rsidR="00BC5E06" w:rsidRPr="00BC5E06">
        <w:t>Humanities</w:t>
      </w:r>
      <w:r w:rsidR="00C804DE">
        <w:t xml:space="preserve"> </w:t>
      </w:r>
      <w:r w:rsidR="00C443FD">
        <w:tab/>
      </w:r>
      <w:r w:rsidR="00C443FD">
        <w:tab/>
      </w:r>
      <w:sdt>
        <w:sdtPr>
          <w:rPr>
            <w:b/>
          </w:rPr>
          <w:id w:val="807829406"/>
          <w14:checkbox>
            <w14:checked w14:val="0"/>
            <w14:checkedState w14:val="2612" w14:font="MS Gothic"/>
            <w14:uncheckedState w14:val="2610" w14:font="MS Gothic"/>
          </w14:checkbox>
        </w:sdtPr>
        <w:sdtEndPr/>
        <w:sdtContent>
          <w:r w:rsidR="00C443FD">
            <w:rPr>
              <w:rFonts w:ascii="MS Gothic" w:eastAsia="MS Gothic" w:hAnsi="MS Gothic" w:hint="eastAsia"/>
              <w:b/>
            </w:rPr>
            <w:t>☐</w:t>
          </w:r>
        </w:sdtContent>
      </w:sdt>
      <w:r w:rsidR="00AC18A6">
        <w:rPr>
          <w:b/>
        </w:rPr>
        <w:t xml:space="preserve"> </w:t>
      </w:r>
      <w:r w:rsidR="00BC5E06" w:rsidRPr="00BC5E06">
        <w:t>Creative &amp; Fine Arts</w:t>
      </w:r>
      <w:r w:rsidR="00C443FD">
        <w:t xml:space="preserve"> </w:t>
      </w:r>
      <w:r w:rsidR="00C443FD">
        <w:tab/>
      </w:r>
      <w:r w:rsidR="00C443FD">
        <w:tab/>
      </w:r>
      <w:sdt>
        <w:sdtPr>
          <w:rPr>
            <w:b/>
          </w:rPr>
          <w:id w:val="-208760328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AC18A6">
        <w:t>Other</w:t>
      </w:r>
    </w:p>
    <w:p w14:paraId="6B93A4DB" w14:textId="77777777" w:rsidR="00BC5E06" w:rsidRDefault="00BC5E06" w:rsidP="00C443FD">
      <w:pPr>
        <w:spacing w:after="0" w:line="276" w:lineRule="auto"/>
        <w:rPr>
          <w:b/>
        </w:rPr>
      </w:pPr>
    </w:p>
    <w:p w14:paraId="1A28452B" w14:textId="77777777" w:rsidR="00C804DE" w:rsidRDefault="00BC5E06" w:rsidP="00C443FD">
      <w:pPr>
        <w:spacing w:after="0" w:line="276" w:lineRule="auto"/>
        <w:rPr>
          <w:b/>
        </w:rPr>
      </w:pPr>
      <w:r w:rsidRPr="00BC5E06">
        <w:rPr>
          <w:b/>
        </w:rPr>
        <w:t>Which essential skills will be addressed?</w:t>
      </w:r>
    </w:p>
    <w:p w14:paraId="15F253C5" w14:textId="38E5E319" w:rsidR="00BC5E06" w:rsidRDefault="00CC4DF6" w:rsidP="00C443FD">
      <w:pPr>
        <w:spacing w:after="0" w:line="276" w:lineRule="auto"/>
        <w:jc w:val="center"/>
      </w:pPr>
      <w:sdt>
        <w:sdtPr>
          <w:rPr>
            <w:b/>
          </w:rPr>
          <w:id w:val="1586412801"/>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Communication</w:t>
      </w:r>
      <w:r w:rsidR="00C443FD">
        <w:tab/>
      </w:r>
      <w:r w:rsidR="00C443FD">
        <w:tab/>
      </w:r>
      <w:sdt>
        <w:sdtPr>
          <w:rPr>
            <w:b/>
          </w:rPr>
          <w:id w:val="987742809"/>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Critical Thinking</w:t>
      </w:r>
      <w:r w:rsidR="00C443FD">
        <w:tab/>
      </w:r>
      <w:sdt>
        <w:sdtPr>
          <w:rPr>
            <w:b/>
          </w:rPr>
          <w:id w:val="1222721589"/>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t>Information &amp; Digital Literacy</w:t>
      </w:r>
    </w:p>
    <w:p w14:paraId="0C847B8B" w14:textId="24FB0F28" w:rsidR="00BC5E06" w:rsidRDefault="00CC4DF6" w:rsidP="00C443FD">
      <w:pPr>
        <w:spacing w:after="0" w:line="276" w:lineRule="auto"/>
        <w:jc w:val="center"/>
      </w:pPr>
      <w:sdt>
        <w:sdtPr>
          <w:rPr>
            <w:b/>
          </w:rPr>
          <w:id w:val="2145388128"/>
          <w14:checkbox>
            <w14:checked w14:val="1"/>
            <w14:checkedState w14:val="2612" w14:font="MS Gothic"/>
            <w14:uncheckedState w14:val="2610" w14:font="MS Gothic"/>
          </w14:checkbox>
        </w:sdtPr>
        <w:sdtEndPr/>
        <w:sdtContent>
          <w:r w:rsidR="009267F0">
            <w:rPr>
              <w:rFonts w:ascii="MS Gothic" w:eastAsia="MS Gothic" w:hAnsi="MS Gothic" w:hint="eastAsia"/>
              <w:b/>
            </w:rPr>
            <w:t>☒</w:t>
          </w:r>
        </w:sdtContent>
      </w:sdt>
      <w:r w:rsidR="00AC18A6">
        <w:rPr>
          <w:b/>
        </w:rPr>
        <w:t xml:space="preserve"> </w:t>
      </w:r>
      <w:r w:rsidR="00BC5E06">
        <w:t>Quantitative Reasoning</w:t>
      </w:r>
      <w:r w:rsidR="00C443FD">
        <w:tab/>
      </w:r>
      <w:r w:rsidR="00BC5E06">
        <w:t xml:space="preserve"> </w:t>
      </w:r>
      <w:sdt>
        <w:sdtPr>
          <w:rPr>
            <w:b/>
          </w:rPr>
          <w:id w:val="-378927807"/>
          <w14:checkbox>
            <w14:checked w14:val="0"/>
            <w14:checkedState w14:val="2612" w14:font="MS Gothic"/>
            <w14:uncheckedState w14:val="2610" w14:font="MS Gothic"/>
          </w14:checkbox>
        </w:sdtPr>
        <w:sdtEndPr/>
        <w:sdtContent>
          <w:r w:rsidR="00BC5E06">
            <w:rPr>
              <w:rFonts w:ascii="MS Gothic" w:eastAsia="MS Gothic" w:hAnsi="MS Gothic" w:hint="eastAsia"/>
              <w:b/>
            </w:rPr>
            <w:t>☐</w:t>
          </w:r>
        </w:sdtContent>
      </w:sdt>
      <w:r w:rsidR="00AC18A6">
        <w:rPr>
          <w:b/>
        </w:rPr>
        <w:t xml:space="preserve"> </w:t>
      </w:r>
      <w:r w:rsidR="00BC5E06" w:rsidRPr="00BC5E06">
        <w:t>Personal &amp; Social Responsibility</w:t>
      </w:r>
    </w:p>
    <w:p w14:paraId="51844834" w14:textId="77777777" w:rsidR="00BC5E06" w:rsidRPr="00BC5E06" w:rsidRDefault="00BC5E06" w:rsidP="00C443FD">
      <w:pPr>
        <w:spacing w:after="0" w:line="276" w:lineRule="auto"/>
        <w:rPr>
          <w:b/>
        </w:rPr>
      </w:pPr>
    </w:p>
    <w:tbl>
      <w:tblPr>
        <w:tblStyle w:val="PlainTable21"/>
        <w:tblW w:w="0" w:type="auto"/>
        <w:tblLook w:val="04A0" w:firstRow="1" w:lastRow="0" w:firstColumn="1" w:lastColumn="0" w:noHBand="0" w:noVBand="1"/>
      </w:tblPr>
      <w:tblGrid>
        <w:gridCol w:w="10795"/>
      </w:tblGrid>
      <w:tr w:rsidR="006E1954" w:rsidRPr="007754C2" w14:paraId="6743AE3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AD2E262" w14:textId="77777777" w:rsidR="006E1954" w:rsidRPr="007754C2" w:rsidRDefault="006E1954" w:rsidP="004D3D09">
            <w:pPr>
              <w:pStyle w:val="ListParagraph"/>
              <w:numPr>
                <w:ilvl w:val="0"/>
                <w:numId w:val="7"/>
              </w:numPr>
              <w:rPr>
                <w:b w:val="0"/>
              </w:rPr>
            </w:pPr>
            <w:r w:rsidRPr="006E1954">
              <w:t>Learning Outcomes</w:t>
            </w:r>
          </w:p>
        </w:tc>
      </w:tr>
    </w:tbl>
    <w:p w14:paraId="2A7FE51A" w14:textId="77777777" w:rsidR="003263E1" w:rsidRDefault="003263E1" w:rsidP="004D3D09">
      <w:pPr>
        <w:spacing w:after="0" w:line="240" w:lineRule="auto"/>
        <w:rPr>
          <w:b/>
        </w:rPr>
      </w:pPr>
      <w:r>
        <w:rPr>
          <w:b/>
        </w:rPr>
        <w:t xml:space="preserve">This course follows the CCNS SLOs for </w:t>
      </w:r>
    </w:p>
    <w:tbl>
      <w:tblPr>
        <w:tblStyle w:val="TableGrid"/>
        <w:tblW w:w="0" w:type="auto"/>
        <w:tblLook w:val="04A0" w:firstRow="1" w:lastRow="0" w:firstColumn="1" w:lastColumn="0" w:noHBand="0" w:noVBand="1"/>
      </w:tblPr>
      <w:tblGrid>
        <w:gridCol w:w="10790"/>
      </w:tblGrid>
      <w:tr w:rsidR="003263E1" w14:paraId="0F3FD202" w14:textId="77777777" w:rsidTr="003263E1">
        <w:tc>
          <w:tcPr>
            <w:tcW w:w="10790" w:type="dxa"/>
          </w:tcPr>
          <w:p w14:paraId="0784DDDB" w14:textId="7FDE46A9" w:rsidR="003263E1" w:rsidRDefault="00CC4DF6" w:rsidP="004D3D09">
            <w:pPr>
              <w:rPr>
                <w:b/>
              </w:rPr>
            </w:pPr>
            <w:sdt>
              <w:sdtPr>
                <w:rPr>
                  <w:b/>
                  <w:bCs/>
                </w:rPr>
                <w:id w:val="1735663657"/>
                <w:text/>
              </w:sdtPr>
              <w:sdtEndPr/>
              <w:sdtContent>
                <w:r w:rsidR="005000A9">
                  <w:rPr>
                    <w:b/>
                    <w:bCs/>
                  </w:rPr>
                  <w:t>MTH 1xx College Algebra</w:t>
                </w:r>
              </w:sdtContent>
            </w:sdt>
          </w:p>
        </w:tc>
      </w:tr>
    </w:tbl>
    <w:p w14:paraId="1E685A17" w14:textId="77777777" w:rsidR="003263E1" w:rsidRDefault="003263E1" w:rsidP="004D3D09">
      <w:pPr>
        <w:spacing w:after="0" w:line="240" w:lineRule="auto"/>
        <w:rPr>
          <w:b/>
        </w:rPr>
      </w:pPr>
    </w:p>
    <w:p w14:paraId="2454E326" w14:textId="77777777" w:rsidR="003263E1" w:rsidRDefault="00C443FD" w:rsidP="004D3D09">
      <w:pPr>
        <w:spacing w:after="0" w:line="240" w:lineRule="auto"/>
        <w:rPr>
          <w:b/>
        </w:rPr>
      </w:pPr>
      <w:r>
        <w:rPr>
          <w:b/>
        </w:rPr>
        <w:t xml:space="preserve">List all learning outcomes </w:t>
      </w:r>
      <w:r w:rsidR="003263E1">
        <w:rPr>
          <w:b/>
        </w:rPr>
        <w:t xml:space="preserve">that are shared between </w:t>
      </w:r>
      <w:r w:rsidR="00367581">
        <w:rPr>
          <w:b/>
        </w:rPr>
        <w:t xml:space="preserve">course </w:t>
      </w:r>
      <w:r w:rsidR="003263E1">
        <w:rPr>
          <w:b/>
        </w:rPr>
        <w:t>sections at your institution</w:t>
      </w:r>
      <w:r>
        <w:rPr>
          <w:b/>
        </w:rPr>
        <w:t>.</w:t>
      </w:r>
    </w:p>
    <w:tbl>
      <w:tblPr>
        <w:tblStyle w:val="TableGrid"/>
        <w:tblW w:w="10795" w:type="dxa"/>
        <w:tblLook w:val="04A0" w:firstRow="1" w:lastRow="0" w:firstColumn="1" w:lastColumn="0" w:noHBand="0" w:noVBand="1"/>
      </w:tblPr>
      <w:tblGrid>
        <w:gridCol w:w="10795"/>
      </w:tblGrid>
      <w:tr w:rsidR="00C443FD" w14:paraId="3C3DB99A" w14:textId="77777777" w:rsidTr="006E1954">
        <w:tc>
          <w:tcPr>
            <w:tcW w:w="10795" w:type="dxa"/>
          </w:tcPr>
          <w:p w14:paraId="679AE485" w14:textId="77777777" w:rsidR="00C443FD" w:rsidRDefault="00356CE7" w:rsidP="004D3D09">
            <w:pPr>
              <w:tabs>
                <w:tab w:val="left" w:pos="9490"/>
              </w:tabs>
              <w:rPr>
                <w:b/>
              </w:rPr>
            </w:pPr>
            <w:r>
              <w:rPr>
                <w:b/>
              </w:rPr>
              <w:t>Common Course Student Learning Outcomes</w:t>
            </w:r>
            <w:r w:rsidR="006F4C18">
              <w:rPr>
                <w:b/>
              </w:rPr>
              <w:t xml:space="preserve"> (find Common Course SLOs at:</w:t>
            </w:r>
            <w:r w:rsidR="006F4C18">
              <w:t xml:space="preserve"> </w:t>
            </w:r>
            <w:hyperlink r:id="rId8" w:history="1">
              <w:r w:rsidR="006F4C18" w:rsidRPr="00C94523">
                <w:rPr>
                  <w:rStyle w:val="Hyperlink"/>
                  <w:b/>
                </w:rPr>
                <w:t>http://www.hed.state.nm.us/programs/request-a-change-to-the-nmccns.aspx</w:t>
              </w:r>
            </w:hyperlink>
            <w:r w:rsidR="006F4C18">
              <w:rPr>
                <w:b/>
              </w:rPr>
              <w:t>)</w:t>
            </w:r>
            <w:r w:rsidR="00C443FD">
              <w:rPr>
                <w:b/>
              </w:rPr>
              <w:tab/>
            </w:r>
          </w:p>
        </w:tc>
      </w:tr>
      <w:tr w:rsidR="00356CE7" w14:paraId="326E3F50" w14:textId="77777777" w:rsidTr="006E1954">
        <w:sdt>
          <w:sdtPr>
            <w:rPr>
              <w:rFonts w:ascii="Calibri" w:hAnsi="Calibri" w:cs="Calibri"/>
            </w:rPr>
            <w:id w:val="156352332"/>
            <w:text/>
          </w:sdtPr>
          <w:sdtEndPr/>
          <w:sdtContent>
            <w:tc>
              <w:tcPr>
                <w:tcW w:w="10795" w:type="dxa"/>
              </w:tcPr>
              <w:p w14:paraId="27062961" w14:textId="19ACE672" w:rsidR="00356CE7" w:rsidRDefault="005000A9" w:rsidP="004D3D09">
                <w:pPr>
                  <w:tabs>
                    <w:tab w:val="left" w:pos="9490"/>
                  </w:tabs>
                  <w:rPr>
                    <w:b/>
                  </w:rPr>
                </w:pPr>
                <w:r w:rsidRPr="005000A9">
                  <w:rPr>
                    <w:rFonts w:ascii="Calibri" w:hAnsi="Calibri" w:cs="Calibri"/>
                  </w:rPr>
                  <w:t xml:space="preserve">1. Use function notation; perform function arithmetic, including composition; find inverse functions. 2. Identify functions and their transformations given in algebraic, graphical, numerical, and verbal representations, and explain the connections between these representations. 3. Graph and interpret key feature of functions, e.g., intercepts, </w:t>
                </w:r>
                <w:r w:rsidRPr="005000A9">
                  <w:rPr>
                    <w:rFonts w:ascii="Calibri" w:hAnsi="Calibri" w:cs="Calibri"/>
                  </w:rPr>
                  <w:lastRenderedPageBreak/>
                  <w:t>leading term, end behavior, asymptotes. 4. Solve equations algebraically to answer questions about graphs, and use graphs to estimate solutions to equations. 5. Solve contextual problems by identifying the appropriate type of function given the context and creating a formula based on the information given. 6. Communicate mathematical information using proper notation and verbal explanations.</w:t>
                </w:r>
              </w:p>
            </w:tc>
          </w:sdtContent>
        </w:sdt>
      </w:tr>
    </w:tbl>
    <w:p w14:paraId="4A7FA811" w14:textId="77777777" w:rsidR="00367581" w:rsidRDefault="00367581" w:rsidP="004D3D09">
      <w:pPr>
        <w:spacing w:after="0" w:line="240" w:lineRule="auto"/>
        <w:rPr>
          <w:b/>
        </w:rPr>
      </w:pPr>
    </w:p>
    <w:tbl>
      <w:tblPr>
        <w:tblStyle w:val="TableGrid"/>
        <w:tblW w:w="10795" w:type="dxa"/>
        <w:tblLook w:val="04A0" w:firstRow="1" w:lastRow="0" w:firstColumn="1" w:lastColumn="0" w:noHBand="0" w:noVBand="1"/>
      </w:tblPr>
      <w:tblGrid>
        <w:gridCol w:w="10795"/>
      </w:tblGrid>
      <w:tr w:rsidR="00356CE7" w14:paraId="513F9C44" w14:textId="77777777" w:rsidTr="00307C81">
        <w:tc>
          <w:tcPr>
            <w:tcW w:w="10795" w:type="dxa"/>
          </w:tcPr>
          <w:p w14:paraId="1E5F835F" w14:textId="77777777" w:rsidR="00356CE7" w:rsidRDefault="00356CE7" w:rsidP="004D3D09">
            <w:pPr>
              <w:tabs>
                <w:tab w:val="left" w:pos="9490"/>
              </w:tabs>
              <w:rPr>
                <w:b/>
              </w:rPr>
            </w:pPr>
            <w:r>
              <w:rPr>
                <w:b/>
              </w:rPr>
              <w:t>Institution-specific Student Learning Outcomes</w:t>
            </w:r>
            <w:r>
              <w:rPr>
                <w:b/>
              </w:rPr>
              <w:tab/>
            </w:r>
          </w:p>
        </w:tc>
      </w:tr>
      <w:tr w:rsidR="00356CE7" w14:paraId="053ECB78" w14:textId="77777777" w:rsidTr="00307C81">
        <w:sdt>
          <w:sdtPr>
            <w:rPr>
              <w:b/>
            </w:rPr>
            <w:id w:val="1033701898"/>
            <w:showingPlcHdr/>
            <w:text/>
          </w:sdtPr>
          <w:sdtEndPr/>
          <w:sdtContent>
            <w:tc>
              <w:tcPr>
                <w:tcW w:w="10795" w:type="dxa"/>
              </w:tcPr>
              <w:p w14:paraId="105AC4DB" w14:textId="77777777" w:rsidR="00356CE7" w:rsidRDefault="00EA0014" w:rsidP="004D3D09">
                <w:pPr>
                  <w:tabs>
                    <w:tab w:val="left" w:pos="9490"/>
                  </w:tabs>
                  <w:rPr>
                    <w:b/>
                  </w:rPr>
                </w:pPr>
                <w:r>
                  <w:rPr>
                    <w:rStyle w:val="PlaceholderText"/>
                  </w:rPr>
                  <w:t>List institution-specific Student Learning Outcomes</w:t>
                </w:r>
              </w:p>
            </w:tc>
          </w:sdtContent>
        </w:sdt>
      </w:tr>
    </w:tbl>
    <w:tbl>
      <w:tblPr>
        <w:tblStyle w:val="PlainTable21"/>
        <w:tblW w:w="0" w:type="auto"/>
        <w:tblLook w:val="04A0" w:firstRow="1" w:lastRow="0" w:firstColumn="1" w:lastColumn="0" w:noHBand="0" w:noVBand="1"/>
      </w:tblPr>
      <w:tblGrid>
        <w:gridCol w:w="10795"/>
      </w:tblGrid>
      <w:tr w:rsidR="006E1954" w:rsidRPr="006E1954" w14:paraId="0AB5F2A9"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55108020" w14:textId="77777777" w:rsidR="00A61272" w:rsidRPr="00A61272" w:rsidRDefault="00A61272" w:rsidP="004D3D09">
            <w:pPr>
              <w:pStyle w:val="ListParagraph"/>
              <w:ind w:left="360"/>
              <w:rPr>
                <w:b w:val="0"/>
              </w:rPr>
            </w:pPr>
          </w:p>
          <w:p w14:paraId="75103B0A" w14:textId="77777777" w:rsidR="006E1954" w:rsidRPr="006E1954" w:rsidRDefault="006E1954" w:rsidP="004D3D09">
            <w:pPr>
              <w:pStyle w:val="ListParagraph"/>
              <w:numPr>
                <w:ilvl w:val="0"/>
                <w:numId w:val="7"/>
              </w:numPr>
              <w:rPr>
                <w:b w:val="0"/>
              </w:rPr>
            </w:pPr>
            <w:r w:rsidRPr="006E1954">
              <w:t xml:space="preserve">Narrative </w:t>
            </w:r>
          </w:p>
        </w:tc>
      </w:tr>
    </w:tbl>
    <w:p w14:paraId="012AF2F9" w14:textId="77777777" w:rsidR="00C804DE" w:rsidRDefault="00487F71" w:rsidP="004D3D09">
      <w:pPr>
        <w:spacing w:after="0" w:line="240" w:lineRule="auto"/>
        <w:rPr>
          <w:b/>
        </w:rPr>
      </w:pPr>
      <w:r>
        <w:rPr>
          <w:b/>
        </w:rPr>
        <w:t>E</w:t>
      </w:r>
      <w:r w:rsidR="00367581">
        <w:rPr>
          <w:b/>
        </w:rPr>
        <w:t>xplain what students are going to do to develop the critical skills</w:t>
      </w:r>
      <w:r w:rsidR="00BC5E06">
        <w:rPr>
          <w:b/>
        </w:rPr>
        <w:t xml:space="preserve"> </w:t>
      </w:r>
      <w:r w:rsidR="00367581">
        <w:t>(selected above)</w:t>
      </w:r>
      <w:r w:rsidR="00367581" w:rsidRPr="00367581">
        <w:rPr>
          <w:b/>
        </w:rPr>
        <w:t xml:space="preserve"> and how you will assess their learning?</w:t>
      </w:r>
    </w:p>
    <w:p w14:paraId="67B7E90F" w14:textId="77777777" w:rsidR="008252F6" w:rsidRDefault="008252F6" w:rsidP="004D3D09">
      <w:pPr>
        <w:spacing w:after="0" w:line="240" w:lineRule="auto"/>
        <w:rPr>
          <w:b/>
        </w:rPr>
      </w:pPr>
    </w:p>
    <w:tbl>
      <w:tblPr>
        <w:tblStyle w:val="TableGrid"/>
        <w:tblW w:w="10795" w:type="dxa"/>
        <w:tblLook w:val="04A0" w:firstRow="1" w:lastRow="0" w:firstColumn="1" w:lastColumn="0" w:noHBand="0" w:noVBand="1"/>
      </w:tblPr>
      <w:tblGrid>
        <w:gridCol w:w="10795"/>
      </w:tblGrid>
      <w:tr w:rsidR="00C804DE" w14:paraId="4057F919" w14:textId="77777777" w:rsidTr="006E1954">
        <w:tc>
          <w:tcPr>
            <w:tcW w:w="10795" w:type="dxa"/>
          </w:tcPr>
          <w:p w14:paraId="1574E3E8" w14:textId="77777777" w:rsidR="00C804DE" w:rsidRPr="00B3371B" w:rsidRDefault="00CC4DF6" w:rsidP="004D3D09">
            <w:pPr>
              <w:rPr>
                <w:b/>
                <w:i/>
              </w:rPr>
            </w:pPr>
            <w:sdt>
              <w:sdtPr>
                <w:rPr>
                  <w:i/>
                </w:rPr>
                <w:id w:val="1402791977"/>
                <w:showingPlcHdr/>
                <w:text/>
              </w:sdtPr>
              <w:sdtEndPr/>
              <w:sdtContent>
                <w:r w:rsidR="008252F6" w:rsidRPr="00B3371B">
                  <w:rPr>
                    <w:b/>
                  </w:rPr>
                  <w:t>Communication</w:t>
                </w:r>
                <w:r w:rsidR="00B3371B">
                  <w:rPr>
                    <w:b/>
                  </w:rPr>
                  <w:t>.</w:t>
                </w:r>
                <w:r w:rsidR="008252F6" w:rsidRPr="00B3371B">
                  <w:rPr>
                    <w:i/>
                  </w:rPr>
                  <w:t xml:space="preserve"> Genre and Medium Awareness, Application and Versatility; Strategies for Understanding and Evaluating Messages; and Evaluation and Production of Arguments. </w:t>
                </w:r>
              </w:sdtContent>
            </w:sdt>
          </w:p>
        </w:tc>
      </w:tr>
      <w:tr w:rsidR="00C804DE" w14:paraId="24D7521C" w14:textId="77777777" w:rsidTr="006E1954">
        <w:sdt>
          <w:sdtPr>
            <w:rPr>
              <w:bCs/>
            </w:rPr>
            <w:id w:val="-2134625620"/>
            <w:text w:multiLine="1"/>
          </w:sdtPr>
          <w:sdtEndPr/>
          <w:sdtContent>
            <w:tc>
              <w:tcPr>
                <w:tcW w:w="10795" w:type="dxa"/>
              </w:tcPr>
              <w:p w14:paraId="09FC084E" w14:textId="2FE6D317" w:rsidR="00C804DE" w:rsidRDefault="00A8081A" w:rsidP="004D3D09">
                <w:pPr>
                  <w:rPr>
                    <w:b/>
                  </w:rPr>
                </w:pPr>
                <w:r w:rsidRPr="00A8081A">
                  <w:rPr>
                    <w:bCs/>
                  </w:rPr>
                  <w:t xml:space="preserve">Oral and written communication are stressed throughout MTH 121. </w:t>
                </w:r>
                <w:r w:rsidRPr="007530EB">
                  <w:rPr>
                    <w:bCs/>
                  </w:rPr>
                  <w:t xml:space="preserve">For every class students are expected to take notes from </w:t>
                </w:r>
                <w:r>
                  <w:rPr>
                    <w:bCs/>
                  </w:rPr>
                  <w:t xml:space="preserve">explanations </w:t>
                </w:r>
                <w:r w:rsidRPr="007530EB">
                  <w:rPr>
                    <w:bCs/>
                  </w:rPr>
                  <w:t>provided by the instructor. Students are challenged to pay attention and ask questions.</w:t>
                </w:r>
                <w:r>
                  <w:rPr>
                    <w:bCs/>
                  </w:rPr>
                  <w:t xml:space="preserve"> </w:t>
                </w:r>
                <w:r w:rsidRPr="00A8081A">
                  <w:rPr>
                    <w:bCs/>
                  </w:rPr>
                  <w:t xml:space="preserve">There is at least one real-life problem per week that students need to read, analyze, interpret, and solve. In addition, students communicate in various genres and mediums: </w:t>
                </w:r>
                <w:r>
                  <w:rPr>
                    <w:bCs/>
                  </w:rPr>
                  <w:br/>
                  <w:t xml:space="preserve">• </w:t>
                </w:r>
                <w:r w:rsidRPr="00A8081A">
                  <w:rPr>
                    <w:bCs/>
                  </w:rPr>
                  <w:t>Written communication: Students have assignments every week in which they need to solve different algebraic exercises and real-life problems. Students have to write the process to solve the exercises step</w:t>
                </w:r>
                <w:r>
                  <w:rPr>
                    <w:bCs/>
                  </w:rPr>
                  <w:t>-</w:t>
                </w:r>
                <w:r w:rsidRPr="00A8081A">
                  <w:rPr>
                    <w:bCs/>
                  </w:rPr>
                  <w:t>by</w:t>
                </w:r>
                <w:r>
                  <w:rPr>
                    <w:bCs/>
                  </w:rPr>
                  <w:t>-</w:t>
                </w:r>
                <w:r w:rsidRPr="00A8081A">
                  <w:rPr>
                    <w:bCs/>
                  </w:rPr>
                  <w:t xml:space="preserve">step. </w:t>
                </w:r>
                <w:r w:rsidRPr="00A8081A">
                  <w:rPr>
                    <w:bCs/>
                  </w:rPr>
                  <w:br/>
                </w:r>
                <w:r>
                  <w:rPr>
                    <w:bCs/>
                  </w:rPr>
                  <w:t xml:space="preserve">• </w:t>
                </w:r>
                <w:r w:rsidRPr="00A8081A">
                  <w:rPr>
                    <w:bCs/>
                  </w:rPr>
                  <w:t xml:space="preserve">Oral communication: </w:t>
                </w:r>
                <w:r w:rsidR="00A00B55">
                  <w:rPr>
                    <w:bCs/>
                  </w:rPr>
                  <w:t>T</w:t>
                </w:r>
                <w:r w:rsidRPr="00A8081A">
                  <w:rPr>
                    <w:bCs/>
                  </w:rPr>
                  <w:t xml:space="preserve">here are group classroom activities every two weeks. Students must share their ideas with other classmates. Later, they are asked to analyze and evaluate arguments in groups and finally to determine correct solutions for the exercises. </w:t>
                </w:r>
                <w:r w:rsidRPr="00A8081A">
                  <w:rPr>
                    <w:bCs/>
                  </w:rPr>
                  <w:br/>
                </w:r>
                <w:r>
                  <w:rPr>
                    <w:bCs/>
                  </w:rPr>
                  <w:t xml:space="preserve">• </w:t>
                </w:r>
                <w:r w:rsidRPr="00A8081A">
                  <w:rPr>
                    <w:bCs/>
                  </w:rPr>
                  <w:t>Digital communication: There is also a project at the end of the semester. In this assignment, students partner up with a fellow student. They choose a project idea (e.g. determining bacteria growth, computing compound interest of an investment account, determining cooking recipes), and they represent quantitative information using appropriate equations to solve problems. The project must be presented to the class using presentation software (e.g. Powerpoint, Prezi, or Adobe Flash).</w:t>
                </w:r>
              </w:p>
            </w:tc>
          </w:sdtContent>
        </w:sdt>
      </w:tr>
    </w:tbl>
    <w:p w14:paraId="7375B15E" w14:textId="77777777" w:rsidR="00C804DE" w:rsidRDefault="00C804DE" w:rsidP="004D3D09">
      <w:pPr>
        <w:pStyle w:val="ListParagraph"/>
      </w:pPr>
    </w:p>
    <w:tbl>
      <w:tblPr>
        <w:tblStyle w:val="TableGrid"/>
        <w:tblW w:w="10795" w:type="dxa"/>
        <w:tblLook w:val="04A0" w:firstRow="1" w:lastRow="0" w:firstColumn="1" w:lastColumn="0" w:noHBand="0" w:noVBand="1"/>
      </w:tblPr>
      <w:tblGrid>
        <w:gridCol w:w="10795"/>
      </w:tblGrid>
      <w:tr w:rsidR="00C804DE" w14:paraId="131687C6" w14:textId="77777777" w:rsidTr="006E1954">
        <w:tc>
          <w:tcPr>
            <w:tcW w:w="10795" w:type="dxa"/>
          </w:tcPr>
          <w:p w14:paraId="05226202" w14:textId="77777777" w:rsidR="00C804DE" w:rsidRPr="00B3371B" w:rsidRDefault="00CC4DF6" w:rsidP="004D3D09">
            <w:pPr>
              <w:rPr>
                <w:b/>
                <w:i/>
              </w:rPr>
            </w:pPr>
            <w:sdt>
              <w:sdtPr>
                <w:rPr>
                  <w:i/>
                </w:rPr>
                <w:id w:val="582040169"/>
                <w:showingPlcHdr/>
                <w:text/>
              </w:sdtPr>
              <w:sdtEndPr/>
              <w:sdtContent>
                <w:r w:rsidR="008252F6" w:rsidRPr="00B3371B">
                  <w:rPr>
                    <w:b/>
                  </w:rPr>
                  <w:t>Critical Thinking</w:t>
                </w:r>
                <w:r w:rsidR="00B3371B" w:rsidRPr="00B3371B">
                  <w:rPr>
                    <w:b/>
                  </w:rPr>
                  <w:t>.</w:t>
                </w:r>
                <w:r w:rsidR="008252F6" w:rsidRPr="00B3371B">
                  <w:rPr>
                    <w:i/>
                  </w:rPr>
                  <w:t xml:space="preserve"> Problem Setting; Evidence Acquisition; Evidence Evaluation; and Reasoning/Conclusion</w:t>
                </w:r>
              </w:sdtContent>
            </w:sdt>
          </w:p>
        </w:tc>
      </w:tr>
      <w:tr w:rsidR="00C804DE" w14:paraId="1B8E429A" w14:textId="77777777" w:rsidTr="006E1954">
        <w:tc>
          <w:tcPr>
            <w:tcW w:w="10795" w:type="dxa"/>
          </w:tcPr>
          <w:p w14:paraId="62636E60" w14:textId="09026E0B" w:rsidR="00C804DE" w:rsidRPr="00B01785" w:rsidRDefault="006128D7" w:rsidP="004D3D09">
            <w:r>
              <w:t xml:space="preserve">This course provides students </w:t>
            </w:r>
            <w:r w:rsidR="00A00B55">
              <w:t xml:space="preserve">with </w:t>
            </w:r>
            <w:r>
              <w:t xml:space="preserve">tools to </w:t>
            </w:r>
            <w:r w:rsidR="00A00B55">
              <w:t xml:space="preserve">explain, analyze, and </w:t>
            </w:r>
            <w:r>
              <w:t>evaluate information</w:t>
            </w:r>
            <w:r w:rsidR="00A00B55">
              <w:t>, and to convey that information algebraically. Solving algebraic exercises within the context of real-life problems on a weekly basis</w:t>
            </w:r>
            <w:r w:rsidR="000229FC">
              <w:t xml:space="preserve">, </w:t>
            </w:r>
            <w:r w:rsidR="00A00B55">
              <w:t>doing group activities every two weeks</w:t>
            </w:r>
            <w:r w:rsidR="000229FC">
              <w:t xml:space="preserve">, and </w:t>
            </w:r>
            <w:r w:rsidR="00A00B55">
              <w:t xml:space="preserve">conducting final projects at the end of the semester, students must understand problems, compare and contrast algebraic techniques, and </w:t>
            </w:r>
            <w:r w:rsidR="00C44113">
              <w:t xml:space="preserve">identify data necessary to solve contextual problems. After they solve the problem </w:t>
            </w:r>
            <w:r w:rsidR="00A00B55">
              <w:t>students</w:t>
            </w:r>
            <w:r w:rsidR="00C44113">
              <w:t xml:space="preserve"> are asked to write interpretation</w:t>
            </w:r>
            <w:r w:rsidR="00A00B55">
              <w:t>s</w:t>
            </w:r>
            <w:r w:rsidR="00C44113">
              <w:t xml:space="preserve"> for the solution</w:t>
            </w:r>
            <w:r w:rsidR="00A00B55">
              <w:t xml:space="preserve">. They </w:t>
            </w:r>
            <w:r w:rsidR="00C44113">
              <w:t>must determine if the solution makes sense.</w:t>
            </w:r>
            <w:r w:rsidR="00B01785">
              <w:t xml:space="preserve"> Finally, students have to develop conclusion</w:t>
            </w:r>
            <w:r w:rsidR="00A00B55">
              <w:t>s</w:t>
            </w:r>
            <w:r w:rsidR="00B01785">
              <w:t xml:space="preserve"> based on data gathered from estimations and computations.</w:t>
            </w:r>
          </w:p>
        </w:tc>
      </w:tr>
    </w:tbl>
    <w:p w14:paraId="3B9DCCBC" w14:textId="77777777" w:rsidR="00C804DE" w:rsidRDefault="00C804DE" w:rsidP="004D3D09">
      <w:pPr>
        <w:spacing w:after="0" w:line="240" w:lineRule="auto"/>
      </w:pPr>
    </w:p>
    <w:tbl>
      <w:tblPr>
        <w:tblStyle w:val="TableGrid"/>
        <w:tblW w:w="10795" w:type="dxa"/>
        <w:tblLook w:val="04A0" w:firstRow="1" w:lastRow="0" w:firstColumn="1" w:lastColumn="0" w:noHBand="0" w:noVBand="1"/>
      </w:tblPr>
      <w:tblGrid>
        <w:gridCol w:w="10795"/>
      </w:tblGrid>
      <w:tr w:rsidR="00C804DE" w14:paraId="139A9C2A" w14:textId="77777777" w:rsidTr="006E1954">
        <w:tc>
          <w:tcPr>
            <w:tcW w:w="10795" w:type="dxa"/>
          </w:tcPr>
          <w:sdt>
            <w:sdtPr>
              <w:id w:val="-1598782966"/>
              <w:showingPlcHdr/>
              <w:text/>
            </w:sdtPr>
            <w:sdtEndPr/>
            <w:sdtContent>
              <w:p w14:paraId="2FC42A61" w14:textId="77777777" w:rsidR="00C804DE" w:rsidRDefault="008252F6" w:rsidP="004D3D09">
                <w:pPr>
                  <w:rPr>
                    <w:b/>
                  </w:rPr>
                </w:pPr>
                <w:r w:rsidRPr="00B3371B">
                  <w:rPr>
                    <w:b/>
                  </w:rPr>
                  <w:t>Quantitative Reasoning</w:t>
                </w:r>
                <w:r w:rsidR="00B3371B">
                  <w:rPr>
                    <w:b/>
                  </w:rPr>
                  <w:t>.</w:t>
                </w:r>
                <w:r w:rsidRPr="00B3371B">
                  <w:rPr>
                    <w:i/>
                  </w:rPr>
                  <w:t xml:space="preserve"> </w:t>
                </w:r>
                <w:r w:rsidR="00B3371B" w:rsidRPr="00B3371B">
                  <w:rPr>
                    <w:i/>
                  </w:rPr>
                  <w:t>Communication/Representation of</w:t>
                </w:r>
                <w:r w:rsidR="00B3371B">
                  <w:rPr>
                    <w:i/>
                  </w:rPr>
                  <w:t xml:space="preserve"> </w:t>
                </w:r>
                <w:r w:rsidR="00B3371B" w:rsidRPr="00B3371B">
                  <w:rPr>
                    <w:i/>
                  </w:rPr>
                  <w:t>Quantitative Information; Analysis of Quantitative Arguments; and Application of Quantitative Models</w:t>
                </w:r>
                <w:r w:rsidR="00B3371B">
                  <w:t xml:space="preserve"> </w:t>
                </w:r>
              </w:p>
            </w:sdtContent>
          </w:sdt>
        </w:tc>
      </w:tr>
      <w:tr w:rsidR="00C804DE" w14:paraId="3150B497" w14:textId="77777777" w:rsidTr="006E1954">
        <w:sdt>
          <w:sdtPr>
            <w:id w:val="1208457368"/>
            <w:text w:multiLine="1"/>
          </w:sdtPr>
          <w:sdtEndPr/>
          <w:sdtContent>
            <w:tc>
              <w:tcPr>
                <w:tcW w:w="10795" w:type="dxa"/>
              </w:tcPr>
              <w:p w14:paraId="2D65B154" w14:textId="71662064" w:rsidR="00C804DE" w:rsidRDefault="00B01785" w:rsidP="004D3D09">
                <w:pPr>
                  <w:rPr>
                    <w:b/>
                  </w:rPr>
                </w:pPr>
                <w:r w:rsidRPr="00B01785">
                  <w:t xml:space="preserve">College Algebra </w:t>
                </w:r>
                <w:r>
                  <w:t>offers</w:t>
                </w:r>
                <w:r w:rsidRPr="00B01785">
                  <w:t xml:space="preserve"> students a college level academic experience that accentuates the use of algebra and functions in problem</w:t>
                </w:r>
                <w:r w:rsidR="000229FC">
                  <w:t>-</w:t>
                </w:r>
                <w:r w:rsidRPr="00B01785">
                  <w:t xml:space="preserve">solving and modeling, </w:t>
                </w:r>
                <w:r>
                  <w:t>supplies the algebra and other mathematics needed in partner disciplines,</w:t>
                </w:r>
                <w:r w:rsidRPr="00B01785">
                  <w:t xml:space="preserve"> provides a found</w:t>
                </w:r>
                <w:r>
                  <w:t>ation in quantitative literacy,</w:t>
                </w:r>
                <w:r w:rsidRPr="00B01785">
                  <w:t xml:space="preserve"> and helps meet quantitative needs in, and outside of, academia. Students address problems presented as real</w:t>
                </w:r>
                <w:r w:rsidR="000229FC">
                  <w:t>-</w:t>
                </w:r>
                <w:r w:rsidRPr="00B01785">
                  <w:t xml:space="preserve">world situations by creating and interpreting mathematical models. Solutions to the problems are formulated, validated, and analyzed using mental, paper and pencil, algebraic, and technology-based techniques as </w:t>
                </w:r>
                <w:r w:rsidR="000A343D">
                  <w:t>appropriate.</w:t>
                </w:r>
                <w:r w:rsidR="000229FC">
                  <w:t xml:space="preserve"> In </w:t>
                </w:r>
                <w:r w:rsidRPr="00B01785">
                  <w:t>week</w:t>
                </w:r>
                <w:r w:rsidR="000229FC">
                  <w:t>ly</w:t>
                </w:r>
                <w:r w:rsidRPr="00B01785">
                  <w:t xml:space="preserve"> assignments, students express quantitative information symbolically using equations and formulas (e.g. compound interest, inflation, population growth, depreciation, cost-revenue-profit), graphs (e.g. linear functions, quadratic functions, cubic functions, polynomial functions, rational functions, circle equation), and written language (e.g. add, subtract, multiply and divide functions, find inverse functions, solve real-life problems).</w:t>
                </w:r>
                <w:r w:rsidR="000229FC">
                  <w:t xml:space="preserve"> In addition, </w:t>
                </w:r>
                <w:r w:rsidRPr="00B01785">
                  <w:t>students complete</w:t>
                </w:r>
                <w:r w:rsidR="000A343D">
                  <w:t xml:space="preserve"> quizzes and exams</w:t>
                </w:r>
                <w:r w:rsidRPr="00B01785">
                  <w:t xml:space="preserve"> in which they analyze the effects of changes (amounts borrowed, saved, or invested; interest rates; frequency of compounding; length of time) made to investments, savings plans and mortgages. They use formulas and graphs to analyze various scenarios, make estimations and predictions, </w:t>
                </w:r>
                <w:r w:rsidRPr="00B01785">
                  <w:lastRenderedPageBreak/>
                  <w:t>interpret results, and state conclusions that they can apply to their own financial decision making</w:t>
                </w:r>
                <w:r w:rsidR="000A343D">
                  <w:t>.</w:t>
                </w:r>
              </w:p>
            </w:tc>
          </w:sdtContent>
        </w:sdt>
      </w:tr>
    </w:tbl>
    <w:p w14:paraId="002CCCDE" w14:textId="77777777" w:rsidR="00C804DE" w:rsidRDefault="00C804DE" w:rsidP="004D3D09">
      <w:pPr>
        <w:spacing w:after="0" w:line="240" w:lineRule="auto"/>
      </w:pPr>
    </w:p>
    <w:tbl>
      <w:tblPr>
        <w:tblStyle w:val="TableGrid"/>
        <w:tblW w:w="10795" w:type="dxa"/>
        <w:tblLook w:val="04A0" w:firstRow="1" w:lastRow="0" w:firstColumn="1" w:lastColumn="0" w:noHBand="0" w:noVBand="1"/>
      </w:tblPr>
      <w:tblGrid>
        <w:gridCol w:w="10795"/>
      </w:tblGrid>
      <w:tr w:rsidR="008252F6" w14:paraId="38CC2335" w14:textId="77777777" w:rsidTr="00B3371B">
        <w:trPr>
          <w:trHeight w:val="926"/>
        </w:trPr>
        <w:tc>
          <w:tcPr>
            <w:tcW w:w="10795" w:type="dxa"/>
          </w:tcPr>
          <w:sdt>
            <w:sdtPr>
              <w:id w:val="738589344"/>
              <w:showingPlcHdr/>
              <w:text/>
            </w:sdtPr>
            <w:sdtEndPr/>
            <w:sdtContent>
              <w:p w14:paraId="51BC031D" w14:textId="77777777" w:rsidR="00B3371B" w:rsidRPr="00B3371B" w:rsidRDefault="008252F6" w:rsidP="004D3D09">
                <w:pPr>
                  <w:pStyle w:val="NoSpacing"/>
                  <w:rPr>
                    <w:i/>
                  </w:rPr>
                </w:pPr>
                <w:r w:rsidRPr="00B3371B">
                  <w:rPr>
                    <w:b/>
                  </w:rPr>
                  <w:t>Personal &amp; Social Responsibility</w:t>
                </w:r>
                <w:r w:rsidR="00B3371B">
                  <w:rPr>
                    <w:i/>
                  </w:rPr>
                  <w:t>.</w:t>
                </w:r>
                <w:r w:rsidR="00B3371B" w:rsidRPr="00B3371B">
                  <w:rPr>
                    <w:i/>
                  </w:rPr>
                  <w:t xml:space="preserve"> Intercultural reasoning and intercultural competence; Sustainability and the</w:t>
                </w:r>
              </w:p>
              <w:p w14:paraId="34D05EA8" w14:textId="77777777" w:rsidR="008252F6" w:rsidRDefault="00B3371B" w:rsidP="004D3D09">
                <w:pPr>
                  <w:pStyle w:val="NoSpacing"/>
                  <w:rPr>
                    <w:b/>
                  </w:rPr>
                </w:pPr>
                <w:r w:rsidRPr="00B3371B">
                  <w:rPr>
                    <w:i/>
                  </w:rPr>
                  <w:t xml:space="preserve">natural and human worlds; Ethical reasoning; Collaboration skills, teamwork and value systems; </w:t>
                </w:r>
                <w:r>
                  <w:rPr>
                    <w:i/>
                  </w:rPr>
                  <w:t xml:space="preserve">and </w:t>
                </w:r>
                <w:r w:rsidRPr="00B3371B">
                  <w:rPr>
                    <w:i/>
                  </w:rPr>
                  <w:t>Civic discourse, civic</w:t>
                </w:r>
                <w:r>
                  <w:rPr>
                    <w:i/>
                  </w:rPr>
                  <w:t xml:space="preserve"> </w:t>
                </w:r>
                <w:r w:rsidRPr="00B3371B">
                  <w:rPr>
                    <w:i/>
                  </w:rPr>
                  <w:t>knowledge and engagement – local and global</w:t>
                </w:r>
                <w:r>
                  <w:t xml:space="preserve"> </w:t>
                </w:r>
              </w:p>
            </w:sdtContent>
          </w:sdt>
        </w:tc>
      </w:tr>
      <w:tr w:rsidR="008252F6" w14:paraId="6F2A0F11" w14:textId="77777777" w:rsidTr="005604B4">
        <w:sdt>
          <w:sdtPr>
            <w:rPr>
              <w:b/>
            </w:rPr>
            <w:id w:val="725500324"/>
            <w:showingPlcHdr/>
            <w:text w:multiLine="1"/>
          </w:sdtPr>
          <w:sdtEndPr>
            <w:rPr>
              <w:b w:val="0"/>
            </w:rPr>
          </w:sdtEndPr>
          <w:sdtContent>
            <w:tc>
              <w:tcPr>
                <w:tcW w:w="10795" w:type="dxa"/>
              </w:tcPr>
              <w:p w14:paraId="0A6F695F" w14:textId="77777777" w:rsidR="008252F6" w:rsidRDefault="008252F6" w:rsidP="004D3D09">
                <w:pPr>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r w:rsidRPr="00C804DE">
                  <w:t>.</w:t>
                </w:r>
              </w:p>
            </w:tc>
          </w:sdtContent>
        </w:sdt>
      </w:tr>
    </w:tbl>
    <w:p w14:paraId="3B90E9CD" w14:textId="77777777" w:rsidR="008252F6" w:rsidRDefault="008252F6" w:rsidP="004D3D09">
      <w:pPr>
        <w:spacing w:after="0" w:line="240" w:lineRule="auto"/>
      </w:pPr>
    </w:p>
    <w:tbl>
      <w:tblPr>
        <w:tblStyle w:val="TableGrid"/>
        <w:tblW w:w="10795" w:type="dxa"/>
        <w:tblLook w:val="04A0" w:firstRow="1" w:lastRow="0" w:firstColumn="1" w:lastColumn="0" w:noHBand="0" w:noVBand="1"/>
      </w:tblPr>
      <w:tblGrid>
        <w:gridCol w:w="10795"/>
      </w:tblGrid>
      <w:tr w:rsidR="008252F6" w14:paraId="06626C66" w14:textId="77777777" w:rsidTr="005604B4">
        <w:tc>
          <w:tcPr>
            <w:tcW w:w="10795" w:type="dxa"/>
          </w:tcPr>
          <w:sdt>
            <w:sdtPr>
              <w:rPr>
                <w:i/>
              </w:rPr>
              <w:id w:val="-21789750"/>
              <w:showingPlcHdr/>
              <w:text/>
            </w:sdtPr>
            <w:sdtEndPr/>
            <w:sdtContent>
              <w:p w14:paraId="4166233B" w14:textId="77777777" w:rsidR="008252F6" w:rsidRPr="00B3371B" w:rsidRDefault="00B3371B" w:rsidP="004D3D09">
                <w:pPr>
                  <w:rPr>
                    <w:b/>
                    <w:i/>
                  </w:rPr>
                </w:pPr>
                <w:r w:rsidRPr="00B3371B">
                  <w:rPr>
                    <w:b/>
                  </w:rPr>
                  <w:t>Information &amp; Digital Literacy</w:t>
                </w:r>
                <w:r>
                  <w:rPr>
                    <w:b/>
                  </w:rPr>
                  <w:t>.</w:t>
                </w:r>
                <w:r w:rsidRPr="00B3371B">
                  <w:rPr>
                    <w:i/>
                  </w:rPr>
                  <w:t xml:space="preserve"> Authority and Value of Information; Digital Literacy; Information Structure; and Research as Inquiry</w:t>
                </w:r>
              </w:p>
            </w:sdtContent>
          </w:sdt>
        </w:tc>
      </w:tr>
      <w:tr w:rsidR="008252F6" w14:paraId="5B6ED9D2" w14:textId="77777777" w:rsidTr="005604B4">
        <w:sdt>
          <w:sdtPr>
            <w:rPr>
              <w:b/>
            </w:rPr>
            <w:id w:val="1077944695"/>
            <w:showingPlcHdr/>
            <w:text w:multiLine="1"/>
          </w:sdtPr>
          <w:sdtEndPr>
            <w:rPr>
              <w:b w:val="0"/>
            </w:rPr>
          </w:sdtEndPr>
          <w:sdtContent>
            <w:tc>
              <w:tcPr>
                <w:tcW w:w="10795" w:type="dxa"/>
              </w:tcPr>
              <w:p w14:paraId="08E52FFE" w14:textId="77777777" w:rsidR="008252F6" w:rsidRDefault="008252F6" w:rsidP="004D3D09">
                <w:pPr>
                  <w:rPr>
                    <w:b/>
                  </w:rPr>
                </w:pPr>
                <w:r w:rsidRPr="00C7551C">
                  <w:rPr>
                    <w:color w:val="808080" w:themeColor="background1" w:themeShade="80"/>
                  </w:rPr>
                  <w:t xml:space="preserve">In this box, provide a narrative that explains how the proposed course addresses the outcomes of the third essential skill. </w:t>
                </w:r>
                <w:r w:rsidR="00EA0014">
                  <w:rPr>
                    <w:color w:val="808080" w:themeColor="background1" w:themeShade="80"/>
                  </w:rPr>
                  <w:t>20</w:t>
                </w:r>
                <w:r w:rsidR="00EA0014" w:rsidRPr="00C7551C">
                  <w:rPr>
                    <w:color w:val="808080" w:themeColor="background1" w:themeShade="80"/>
                  </w:rPr>
                  <w:t>0 –</w:t>
                </w:r>
                <w:r w:rsidR="00EA0014">
                  <w:rPr>
                    <w:color w:val="808080" w:themeColor="background1" w:themeShade="80"/>
                  </w:rPr>
                  <w:t xml:space="preserve"> 3</w:t>
                </w:r>
                <w:r w:rsidR="00EA0014" w:rsidRPr="00C7551C">
                  <w:rPr>
                    <w:color w:val="808080" w:themeColor="background1" w:themeShade="80"/>
                  </w:rPr>
                  <w:t xml:space="preserve">00 </w:t>
                </w:r>
                <w:r w:rsidRPr="00C7551C">
                  <w:rPr>
                    <w:color w:val="808080" w:themeColor="background1" w:themeShade="80"/>
                  </w:rPr>
                  <w:t>words.</w:t>
                </w:r>
              </w:p>
            </w:tc>
          </w:sdtContent>
        </w:sdt>
      </w:tr>
    </w:tbl>
    <w:p w14:paraId="46A7301F" w14:textId="77777777" w:rsidR="008252F6" w:rsidRDefault="008252F6" w:rsidP="00C443FD">
      <w:pPr>
        <w:spacing w:after="0" w:line="276" w:lineRule="auto"/>
      </w:pPr>
    </w:p>
    <w:tbl>
      <w:tblPr>
        <w:tblStyle w:val="PlainTable21"/>
        <w:tblW w:w="0" w:type="auto"/>
        <w:tblBorders>
          <w:bottom w:val="single" w:sz="4" w:space="0" w:color="auto"/>
        </w:tblBorders>
        <w:tblLook w:val="04A0" w:firstRow="1" w:lastRow="0" w:firstColumn="1" w:lastColumn="0" w:noHBand="0" w:noVBand="1"/>
      </w:tblPr>
      <w:tblGrid>
        <w:gridCol w:w="10795"/>
      </w:tblGrid>
      <w:tr w:rsidR="006E1954" w:rsidRPr="006E1954" w14:paraId="3E9645AA"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16EDDF25" w14:textId="603C73B1" w:rsidR="006E1954" w:rsidRPr="006E1954" w:rsidRDefault="00367581" w:rsidP="001D0E81">
            <w:pPr>
              <w:pStyle w:val="ListParagraph"/>
              <w:numPr>
                <w:ilvl w:val="0"/>
                <w:numId w:val="7"/>
              </w:numPr>
              <w:spacing w:line="276" w:lineRule="auto"/>
              <w:rPr>
                <w:b w:val="0"/>
                <w:bCs w:val="0"/>
              </w:rPr>
            </w:pPr>
            <w:r>
              <w:t>Suppor</w:t>
            </w:r>
            <w:r w:rsidR="001D0E81">
              <w:t>ting Documents</w:t>
            </w:r>
          </w:p>
        </w:tc>
      </w:tr>
    </w:tbl>
    <w:p w14:paraId="25FB5F94" w14:textId="2CE5AE47" w:rsidR="00C804DE" w:rsidRDefault="00CC4DF6" w:rsidP="00C443FD">
      <w:pPr>
        <w:spacing w:after="0" w:line="276" w:lineRule="auto"/>
        <w:rPr>
          <w:b/>
          <w:bCs/>
        </w:rPr>
      </w:pPr>
      <w:sdt>
        <w:sdtPr>
          <w:rPr>
            <w:b/>
            <w:bCs/>
          </w:rPr>
          <w:id w:val="-1571486905"/>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w:t>
      </w:r>
      <w:r w:rsidR="006F4C18">
        <w:rPr>
          <w:b/>
          <w:bCs/>
        </w:rPr>
        <w:t>Sample Course Rubric</w:t>
      </w:r>
      <w:r w:rsidR="00B677DB">
        <w:rPr>
          <w:b/>
          <w:bCs/>
        </w:rPr>
        <w:t xml:space="preserve"> </w:t>
      </w:r>
      <w:r w:rsidR="00243E7C">
        <w:rPr>
          <w:b/>
          <w:bCs/>
        </w:rPr>
        <w:t>A</w:t>
      </w:r>
      <w:r w:rsidR="00B677DB">
        <w:rPr>
          <w:b/>
          <w:bCs/>
        </w:rPr>
        <w:t>ttached</w:t>
      </w:r>
      <w:r w:rsidR="001D0E81">
        <w:rPr>
          <w:b/>
          <w:bCs/>
        </w:rPr>
        <w:t xml:space="preserve"> </w:t>
      </w:r>
      <w:r w:rsidR="001D0E81">
        <w:rPr>
          <w:bCs/>
        </w:rPr>
        <w:t>(recommended)</w:t>
      </w:r>
      <w:r w:rsidR="001D0E81">
        <w:rPr>
          <w:b/>
          <w:bCs/>
        </w:rPr>
        <w:t xml:space="preserve"> </w:t>
      </w:r>
      <w:r w:rsidR="00B677DB">
        <w:rPr>
          <w:b/>
          <w:bCs/>
        </w:rPr>
        <w:tab/>
      </w:r>
      <w:sdt>
        <w:sdtPr>
          <w:rPr>
            <w:b/>
            <w:bCs/>
          </w:rPr>
          <w:id w:val="969479529"/>
          <w14:checkbox>
            <w14:checked w14:val="0"/>
            <w14:checkedState w14:val="2612" w14:font="MS Gothic"/>
            <w14:uncheckedState w14:val="2610" w14:font="MS Gothic"/>
          </w14:checkbox>
        </w:sdtPr>
        <w:sdtEndPr/>
        <w:sdtContent>
          <w:r w:rsidR="00487F71">
            <w:rPr>
              <w:rFonts w:ascii="MS Gothic" w:eastAsia="MS Gothic" w:hAnsi="MS Gothic" w:hint="eastAsia"/>
              <w:b/>
              <w:bCs/>
            </w:rPr>
            <w:t>☐</w:t>
          </w:r>
        </w:sdtContent>
      </w:sdt>
      <w:r w:rsidR="00487F71">
        <w:rPr>
          <w:b/>
          <w:bCs/>
        </w:rPr>
        <w:t xml:space="preserve"> Sample Assessment</w:t>
      </w:r>
      <w:r w:rsidR="00243E7C">
        <w:rPr>
          <w:b/>
          <w:bCs/>
        </w:rPr>
        <w:t xml:space="preserve"> Attached</w:t>
      </w:r>
      <w:r w:rsidR="001D0E81">
        <w:rPr>
          <w:b/>
          <w:bCs/>
        </w:rPr>
        <w:t xml:space="preserve"> </w:t>
      </w:r>
      <w:r w:rsidR="001D0E81" w:rsidRPr="001D0E81">
        <w:rPr>
          <w:bCs/>
        </w:rPr>
        <w:t>(required)</w:t>
      </w:r>
    </w:p>
    <w:p w14:paraId="378E7BEB" w14:textId="77777777" w:rsidR="00927ADF" w:rsidRDefault="00927ADF" w:rsidP="00C443FD">
      <w:pPr>
        <w:spacing w:after="0" w:line="276" w:lineRule="auto"/>
        <w:rPr>
          <w:b/>
          <w:bCs/>
        </w:rPr>
      </w:pPr>
    </w:p>
    <w:tbl>
      <w:tblPr>
        <w:tblStyle w:val="PlainTable21"/>
        <w:tblW w:w="0" w:type="auto"/>
        <w:tblLook w:val="04A0" w:firstRow="1" w:lastRow="0" w:firstColumn="1" w:lastColumn="0" w:noHBand="0" w:noVBand="1"/>
      </w:tblPr>
      <w:tblGrid>
        <w:gridCol w:w="10795"/>
      </w:tblGrid>
      <w:tr w:rsidR="006E1954" w:rsidRPr="006E1954" w14:paraId="33CFBD01" w14:textId="77777777" w:rsidTr="006E19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il"/>
              <w:bottom w:val="single" w:sz="4" w:space="0" w:color="auto"/>
            </w:tcBorders>
          </w:tcPr>
          <w:p w14:paraId="7034C753" w14:textId="77777777" w:rsidR="006E1954" w:rsidRPr="006E1954" w:rsidRDefault="006E1954" w:rsidP="005331EF">
            <w:pPr>
              <w:pStyle w:val="ListParagraph"/>
              <w:numPr>
                <w:ilvl w:val="0"/>
                <w:numId w:val="7"/>
              </w:numPr>
              <w:spacing w:line="276" w:lineRule="auto"/>
              <w:rPr>
                <w:b w:val="0"/>
                <w:bCs w:val="0"/>
              </w:rPr>
            </w:pPr>
            <w:r w:rsidRPr="006E1954">
              <w:t>Assessment</w:t>
            </w:r>
            <w:r w:rsidR="00367581">
              <w:t xml:space="preserve"> </w:t>
            </w:r>
            <w:r w:rsidR="006F4C18">
              <w:t xml:space="preserve">Plan </w:t>
            </w:r>
            <w:r w:rsidR="00367581">
              <w:t>(Must be on file with HED by August 1, 2019)</w:t>
            </w:r>
          </w:p>
        </w:tc>
      </w:tr>
    </w:tbl>
    <w:p w14:paraId="4392A0F6" w14:textId="77777777" w:rsidR="006A2474" w:rsidRDefault="006A2474" w:rsidP="006A2474">
      <w:pPr>
        <w:spacing w:line="276" w:lineRule="auto"/>
        <w:rPr>
          <w:b/>
          <w:bCs/>
        </w:rPr>
      </w:pPr>
      <w:r>
        <w:rPr>
          <w:b/>
          <w:bCs/>
        </w:rPr>
        <w:t xml:space="preserve">Link to Institution’s General Education Assessment Plan </w:t>
      </w:r>
      <w:sdt>
        <w:sdtPr>
          <w:rPr>
            <w:b/>
            <w:bCs/>
          </w:rPr>
          <w:id w:val="1708991705"/>
          <w:showingPlcHdr/>
          <w:text/>
        </w:sdtPr>
        <w:sdtEndPr/>
        <w:sdtContent>
          <w:r w:rsidRPr="00CA4925">
            <w:rPr>
              <w:rStyle w:val="PlaceholderText"/>
            </w:rPr>
            <w:t>Click here to enter text.</w:t>
          </w:r>
        </w:sdtContent>
      </w:sdt>
    </w:p>
    <w:p w14:paraId="563D87E9" w14:textId="2CCDB8D7" w:rsidR="000157C6" w:rsidRDefault="000157C6" w:rsidP="000157C6">
      <w:pPr>
        <w:widowControl w:val="0"/>
        <w:autoSpaceDE w:val="0"/>
        <w:autoSpaceDN w:val="0"/>
        <w:adjustRightInd w:val="0"/>
        <w:spacing w:after="0" w:line="240" w:lineRule="auto"/>
        <w:rPr>
          <w:rFonts w:cstheme="minorHAnsi"/>
        </w:rPr>
      </w:pPr>
      <w:r w:rsidRPr="00EF6409">
        <w:rPr>
          <w:rFonts w:cstheme="minorHAnsi"/>
        </w:rPr>
        <w:t xml:space="preserve">This course meets Navajo Tech's institutional standards for General Education and has been reviewed and approved by our General Education Committee and Assessment Committee. Student learning data from the course's skills rubric will be gathered from the last of the course's </w:t>
      </w:r>
      <w:r>
        <w:rPr>
          <w:rFonts w:cstheme="minorHAnsi"/>
        </w:rPr>
        <w:t xml:space="preserve">project </w:t>
      </w:r>
      <w:r w:rsidRPr="00EF6409">
        <w:rPr>
          <w:rFonts w:cstheme="minorHAnsi"/>
        </w:rPr>
        <w:t>assignments. Data summaries from all sections of the course will be compiled on a semester-by-semester basis by the University's Offices of Assessment and Institutional Research. Departmental faculty will review the data and design course and GenEd program improvements during Assessment Days each semester. An annual summary that includes summaries of program improvement will be prepared by the Assessment Committee and included in the University's Annual Student Learning Report. Curriculum revisions as needed will be designed by the General Education Committee and reviewed and approved by the Faculty Congress.</w:t>
      </w:r>
    </w:p>
    <w:p w14:paraId="2F223859" w14:textId="77777777" w:rsidR="000157C6" w:rsidRPr="000157C6" w:rsidRDefault="000157C6" w:rsidP="000157C6">
      <w:pPr>
        <w:widowControl w:val="0"/>
        <w:autoSpaceDE w:val="0"/>
        <w:autoSpaceDN w:val="0"/>
        <w:adjustRightInd w:val="0"/>
        <w:spacing w:after="0" w:line="240" w:lineRule="auto"/>
        <w:rPr>
          <w:rFonts w:cstheme="minorHAnsi"/>
        </w:rPr>
      </w:pPr>
    </w:p>
    <w:p w14:paraId="0A714ABC" w14:textId="024CC566" w:rsidR="00B677DB" w:rsidRPr="00FD76FD" w:rsidRDefault="00B677DB" w:rsidP="00B677DB">
      <w:pPr>
        <w:rPr>
          <w:b/>
          <w:bCs/>
        </w:rPr>
      </w:pPr>
      <w:r>
        <w:rPr>
          <w:b/>
          <w:bCs/>
        </w:rPr>
        <w:t>This</w:t>
      </w:r>
      <w:r w:rsidRPr="00FD76FD">
        <w:rPr>
          <w:b/>
          <w:bCs/>
        </w:rPr>
        <w:t xml:space="preserve"> course meets institutional standards for general education.</w:t>
      </w:r>
    </w:p>
    <w:p w14:paraId="48326DD9" w14:textId="77777777" w:rsidR="00133BE2" w:rsidRDefault="00133BE2" w:rsidP="00B677DB">
      <w:pPr>
        <w:spacing w:after="0"/>
        <w:rPr>
          <w:b/>
          <w:bCs/>
        </w:rPr>
      </w:pPr>
    </w:p>
    <w:p w14:paraId="5EFC69F1" w14:textId="3FAD21AE" w:rsidR="00005E92" w:rsidRDefault="00005E92" w:rsidP="00005E92">
      <w:pPr>
        <w:spacing w:after="0"/>
      </w:pPr>
      <w:r>
        <w:rPr>
          <w:b/>
          <w:bCs/>
        </w:rPr>
        <w:t>_____________________________________________</w:t>
      </w:r>
      <w:r>
        <w:rPr>
          <w:b/>
          <w:bCs/>
        </w:rPr>
        <w:tab/>
      </w:r>
      <w:r>
        <w:rPr>
          <w:b/>
          <w:bCs/>
        </w:rPr>
        <w:tab/>
      </w:r>
      <w:r>
        <w:rPr>
          <w:b/>
          <w:bCs/>
        </w:rPr>
        <w:tab/>
      </w:r>
      <w:r w:rsidR="00D62965" w:rsidRPr="00FD6B52">
        <w:rPr>
          <w:bCs/>
        </w:rPr>
        <w:t xml:space="preserve">Mar </w:t>
      </w:r>
      <w:r w:rsidR="00D62965">
        <w:rPr>
          <w:bCs/>
        </w:rPr>
        <w:t xml:space="preserve">14 </w:t>
      </w:r>
      <w:r w:rsidR="00D62965" w:rsidRPr="00FD6B52">
        <w:rPr>
          <w:bCs/>
        </w:rPr>
        <w:t>2019</w:t>
      </w:r>
      <w:bookmarkStart w:id="0" w:name="_GoBack"/>
      <w:bookmarkEnd w:id="0"/>
    </w:p>
    <w:p w14:paraId="14792635" w14:textId="77777777" w:rsidR="00005E92" w:rsidRDefault="00005E92" w:rsidP="00005E92">
      <w:pPr>
        <w:rPr>
          <w:bCs/>
        </w:rPr>
      </w:pPr>
      <w:r>
        <w:rPr>
          <w:bCs/>
        </w:rPr>
        <w:t>Signature of Chief Academic Officer</w:t>
      </w:r>
      <w:r>
        <w:rPr>
          <w:bCs/>
        </w:rPr>
        <w:tab/>
      </w:r>
      <w:r>
        <w:rPr>
          <w:bCs/>
        </w:rPr>
        <w:tab/>
      </w:r>
      <w:r>
        <w:rPr>
          <w:bCs/>
        </w:rPr>
        <w:tab/>
      </w:r>
      <w:r>
        <w:rPr>
          <w:bCs/>
        </w:rPr>
        <w:tab/>
      </w:r>
      <w:r>
        <w:rPr>
          <w:bCs/>
        </w:rPr>
        <w:tab/>
        <w:t>Date</w:t>
      </w:r>
    </w:p>
    <w:p w14:paraId="1B9A9346" w14:textId="77777777" w:rsidR="00A504D3" w:rsidRDefault="00C2528E" w:rsidP="00A504D3">
      <w:pPr>
        <w:rPr>
          <w:bCs/>
        </w:rPr>
      </w:pPr>
      <w:r>
        <w:rPr>
          <w:bCs/>
          <w:noProof/>
        </w:rPr>
        <mc:AlternateContent>
          <mc:Choice Requires="wps">
            <w:drawing>
              <wp:anchor distT="0" distB="0" distL="114300" distR="114300" simplePos="0" relativeHeight="251659264" behindDoc="0" locked="0" layoutInCell="1" allowOverlap="1" wp14:anchorId="4B04E4C7" wp14:editId="15C98B4D">
                <wp:simplePos x="0" y="0"/>
                <wp:positionH relativeFrom="column">
                  <wp:posOffset>-101600</wp:posOffset>
                </wp:positionH>
                <wp:positionV relativeFrom="paragraph">
                  <wp:posOffset>125095</wp:posOffset>
                </wp:positionV>
                <wp:extent cx="6819900" cy="22542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819900" cy="225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7A8DF" id="Rectangle 2" o:spid="_x0000_s1026" style="position:absolute;margin-left:-8pt;margin-top:9.85pt;width:537pt;height: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dWlQIAAIUFAAAOAAAAZHJzL2Uyb0RvYy54bWysVEtv2zAMvg/YfxB0X/1A0jV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" filled="f" strokecolor="black [3213]" strokeweight="1pt"/>
            </w:pict>
          </mc:Fallback>
        </mc:AlternateContent>
      </w:r>
    </w:p>
    <w:p w14:paraId="1410B6EE" w14:textId="77777777" w:rsidR="00A504D3" w:rsidRDefault="00A504D3" w:rsidP="00C2528E">
      <w:pPr>
        <w:rPr>
          <w:b/>
          <w:bCs/>
        </w:rPr>
      </w:pPr>
      <w:r w:rsidRPr="00A504D3">
        <w:rPr>
          <w:b/>
          <w:bCs/>
        </w:rPr>
        <w:t>HED Internal Use Only</w:t>
      </w:r>
    </w:p>
    <w:p w14:paraId="60467B69" w14:textId="77777777" w:rsidR="00B85196" w:rsidRDefault="00B85196" w:rsidP="00B85196">
      <w:pPr>
        <w:spacing w:after="0"/>
      </w:pPr>
      <w:r w:rsidRPr="00B85196">
        <w:rPr>
          <w:bCs/>
        </w:rPr>
        <w:t>Presented to NMCC on</w:t>
      </w:r>
      <w:r>
        <w:rPr>
          <w:b/>
          <w:bCs/>
        </w:rPr>
        <w:t xml:space="preserve"> </w:t>
      </w:r>
      <w:r>
        <w:t>______________________________</w:t>
      </w:r>
    </w:p>
    <w:p w14:paraId="0AF958C5" w14:textId="77777777" w:rsidR="00B85196" w:rsidRDefault="00B85196" w:rsidP="00B85196">
      <w:pPr>
        <w:ind w:left="1440" w:firstLine="720"/>
        <w:rPr>
          <w:bCs/>
        </w:rPr>
      </w:pPr>
      <w:r w:rsidRPr="00A504D3">
        <w:rPr>
          <w:bCs/>
        </w:rPr>
        <w:t>Date</w:t>
      </w:r>
    </w:p>
    <w:p w14:paraId="1ACF2714" w14:textId="77777777" w:rsidR="00A504D3" w:rsidRPr="00A504D3" w:rsidRDefault="00CC4DF6" w:rsidP="00A504D3">
      <w:pPr>
        <w:rPr>
          <w:bCs/>
        </w:rPr>
      </w:pPr>
      <w:sdt>
        <w:sdtPr>
          <w:rPr>
            <w:b/>
            <w:bCs/>
          </w:rPr>
          <w:id w:val="-1775157010"/>
          <w14:checkbox>
            <w14:checked w14:val="0"/>
            <w14:checkedState w14:val="2612" w14:font="MS Gothic"/>
            <w14:uncheckedState w14:val="2610" w14:font="MS Gothic"/>
          </w14:checkbox>
        </w:sdtPr>
        <w:sdtEndPr/>
        <w:sdtContent>
          <w:r w:rsidR="00A504D3">
            <w:rPr>
              <w:rFonts w:ascii="MS Gothic" w:eastAsia="MS Gothic" w:hAnsi="MS Gothic" w:hint="eastAsia"/>
              <w:b/>
              <w:bCs/>
            </w:rPr>
            <w:t>☐</w:t>
          </w:r>
        </w:sdtContent>
      </w:sdt>
      <w:r w:rsidR="00A504D3" w:rsidRPr="00A504D3">
        <w:rPr>
          <w:bCs/>
        </w:rPr>
        <w:t>Approved</w:t>
      </w:r>
      <w:r w:rsidR="00A504D3" w:rsidRPr="00A504D3">
        <w:rPr>
          <w:bCs/>
        </w:rPr>
        <w:tab/>
      </w:r>
      <w:sdt>
        <w:sdtPr>
          <w:rPr>
            <w:bCs/>
          </w:rPr>
          <w:id w:val="762879540"/>
          <w14:checkbox>
            <w14:checked w14:val="0"/>
            <w14:checkedState w14:val="2612" w14:font="MS Gothic"/>
            <w14:uncheckedState w14:val="2610" w14:font="MS Gothic"/>
          </w14:checkbox>
        </w:sdtPr>
        <w:sdtEndPr/>
        <w:sdtContent>
          <w:r w:rsidR="00A504D3" w:rsidRPr="00A504D3">
            <w:rPr>
              <w:rFonts w:ascii="MS Gothic" w:eastAsia="MS Gothic" w:hAnsi="MS Gothic" w:hint="eastAsia"/>
              <w:bCs/>
            </w:rPr>
            <w:t>☐</w:t>
          </w:r>
        </w:sdtContent>
      </w:sdt>
      <w:r w:rsidR="00C2528E">
        <w:rPr>
          <w:bCs/>
        </w:rPr>
        <w:t>Denied</w:t>
      </w:r>
      <w:r w:rsidR="00A504D3" w:rsidRPr="00A504D3">
        <w:rPr>
          <w:bCs/>
        </w:rPr>
        <w:tab/>
      </w:r>
      <w:r w:rsidR="00A504D3" w:rsidRPr="00A504D3">
        <w:rPr>
          <w:bCs/>
        </w:rPr>
        <w:tab/>
      </w:r>
    </w:p>
    <w:p w14:paraId="181AF5DF" w14:textId="77777777" w:rsidR="00A504D3" w:rsidRPr="00A504D3" w:rsidRDefault="00A504D3" w:rsidP="00A504D3">
      <w:pPr>
        <w:rPr>
          <w:bCs/>
        </w:rPr>
      </w:pPr>
      <w:r w:rsidRPr="00A504D3">
        <w:rPr>
          <w:bCs/>
        </w:rPr>
        <w:t xml:space="preserve">If </w:t>
      </w:r>
      <w:r w:rsidR="00C2528E">
        <w:rPr>
          <w:bCs/>
        </w:rPr>
        <w:t>denied</w:t>
      </w:r>
      <w:r w:rsidRPr="00A504D3">
        <w:rPr>
          <w:bCs/>
        </w:rPr>
        <w:t>, rationale:</w:t>
      </w:r>
    </w:p>
    <w:p w14:paraId="5D572A0D" w14:textId="77777777" w:rsidR="00A504D3" w:rsidRDefault="00A504D3" w:rsidP="00A504D3">
      <w:pPr>
        <w:rPr>
          <w:b/>
          <w:bCs/>
        </w:rPr>
      </w:pPr>
    </w:p>
    <w:p w14:paraId="73F51DD8" w14:textId="77777777" w:rsidR="00A504D3" w:rsidRDefault="00A504D3" w:rsidP="00A504D3">
      <w:pPr>
        <w:spacing w:after="0"/>
        <w:rPr>
          <w:bCs/>
        </w:rPr>
      </w:pPr>
      <w:r>
        <w:rPr>
          <w:bCs/>
        </w:rPr>
        <w:t>Institution Notified on _________________________________</w:t>
      </w:r>
    </w:p>
    <w:p w14:paraId="216F2562" w14:textId="77777777" w:rsidR="000229FC" w:rsidRDefault="00C2528E" w:rsidP="000229FC">
      <w:pPr>
        <w:rPr>
          <w:bCs/>
        </w:rPr>
      </w:pPr>
      <w:r>
        <w:rPr>
          <w:bCs/>
        </w:rPr>
        <w:tab/>
      </w:r>
      <w:r w:rsidR="00A504D3">
        <w:rPr>
          <w:bCs/>
        </w:rPr>
        <w:tab/>
      </w:r>
      <w:r w:rsidR="00A504D3">
        <w:rPr>
          <w:bCs/>
        </w:rPr>
        <w:tab/>
      </w:r>
      <w:r w:rsidR="00A504D3" w:rsidRPr="00A504D3">
        <w:rPr>
          <w:bCs/>
        </w:rPr>
        <w:t>Date</w:t>
      </w:r>
    </w:p>
    <w:p w14:paraId="76BB455C" w14:textId="77777777" w:rsidR="004D3D09" w:rsidRDefault="004D3D09" w:rsidP="000229FC">
      <w:pPr>
        <w:rPr>
          <w:b/>
          <w:bCs/>
        </w:rPr>
      </w:pPr>
    </w:p>
    <w:p w14:paraId="62CA0837" w14:textId="082A5AEC" w:rsidR="004D3D09" w:rsidRDefault="004D3D09" w:rsidP="000229FC">
      <w:pPr>
        <w:rPr>
          <w:b/>
          <w:bCs/>
        </w:rPr>
      </w:pPr>
    </w:p>
    <w:p w14:paraId="5BEED2B8" w14:textId="77777777" w:rsidR="00633C03" w:rsidRDefault="00633C03" w:rsidP="000229FC">
      <w:pPr>
        <w:rPr>
          <w:b/>
          <w:bCs/>
        </w:rPr>
      </w:pPr>
    </w:p>
    <w:p w14:paraId="49DA6D47" w14:textId="7BAA1D1D" w:rsidR="005A0891" w:rsidRPr="00D17CD3" w:rsidRDefault="005A0891" w:rsidP="007A0705">
      <w:pPr>
        <w:spacing w:after="0" w:line="240" w:lineRule="auto"/>
        <w:rPr>
          <w:b/>
          <w:bCs/>
        </w:rPr>
      </w:pPr>
      <w:r>
        <w:rPr>
          <w:b/>
          <w:bCs/>
        </w:rPr>
        <w:lastRenderedPageBreak/>
        <w:t>MTH 121 College Algebra</w:t>
      </w:r>
    </w:p>
    <w:p w14:paraId="306E969B" w14:textId="302BC4C7" w:rsidR="005A0891" w:rsidRDefault="005A0891" w:rsidP="007A0705">
      <w:pPr>
        <w:spacing w:after="0" w:line="240" w:lineRule="auto"/>
        <w:rPr>
          <w:b/>
          <w:bCs/>
        </w:rPr>
      </w:pPr>
      <w:r w:rsidRPr="005A0891">
        <w:rPr>
          <w:b/>
          <w:bCs/>
        </w:rPr>
        <w:t xml:space="preserve">Course </w:t>
      </w:r>
      <w:r>
        <w:rPr>
          <w:b/>
          <w:bCs/>
        </w:rPr>
        <w:t>A</w:t>
      </w:r>
      <w:r w:rsidRPr="005A0891">
        <w:rPr>
          <w:b/>
          <w:bCs/>
        </w:rPr>
        <w:t xml:space="preserve">ssessment: </w:t>
      </w:r>
      <w:r>
        <w:rPr>
          <w:b/>
          <w:bCs/>
        </w:rPr>
        <w:t>A</w:t>
      </w:r>
      <w:r w:rsidRPr="005A0891">
        <w:rPr>
          <w:b/>
          <w:bCs/>
        </w:rPr>
        <w:t>ssignment-with-</w:t>
      </w:r>
      <w:r>
        <w:rPr>
          <w:b/>
          <w:bCs/>
        </w:rPr>
        <w:t>R</w:t>
      </w:r>
      <w:r w:rsidRPr="005A0891">
        <w:rPr>
          <w:b/>
          <w:bCs/>
        </w:rPr>
        <w:t>ubric</w:t>
      </w:r>
    </w:p>
    <w:p w14:paraId="1A28E18F" w14:textId="2D61E791" w:rsidR="005A0891" w:rsidRDefault="005A0891" w:rsidP="005A0891">
      <w:pPr>
        <w:spacing w:after="0" w:line="240" w:lineRule="auto"/>
        <w:rPr>
          <w:b/>
          <w:bCs/>
        </w:rPr>
      </w:pPr>
    </w:p>
    <w:p w14:paraId="1FFD7D7E" w14:textId="73E00CD2" w:rsidR="005A0891" w:rsidRDefault="005A0891" w:rsidP="005A0891">
      <w:pPr>
        <w:spacing w:after="0" w:line="240" w:lineRule="auto"/>
        <w:rPr>
          <w:b/>
          <w:bCs/>
        </w:rPr>
      </w:pPr>
      <w:r>
        <w:rPr>
          <w:b/>
          <w:bCs/>
        </w:rPr>
        <w:t>Assignment Steps</w:t>
      </w:r>
    </w:p>
    <w:p w14:paraId="7558CC52" w14:textId="4AF461FC" w:rsidR="005A0891" w:rsidRPr="00DF0B0F" w:rsidRDefault="00DF0B0F" w:rsidP="00497A19">
      <w:pPr>
        <w:spacing w:after="0" w:line="240" w:lineRule="auto"/>
        <w:ind w:left="360" w:hanging="360"/>
        <w:rPr>
          <w:bCs/>
        </w:rPr>
      </w:pPr>
      <w:r w:rsidRPr="00DF0B0F">
        <w:rPr>
          <w:bCs/>
        </w:rPr>
        <w:t>1</w:t>
      </w:r>
      <w:r w:rsidR="00F00DC5">
        <w:rPr>
          <w:bCs/>
        </w:rPr>
        <w:tab/>
      </w:r>
      <w:r w:rsidR="00497A19">
        <w:rPr>
          <w:bCs/>
        </w:rPr>
        <w:t>P</w:t>
      </w:r>
      <w:r w:rsidR="00F00DC5">
        <w:rPr>
          <w:bCs/>
        </w:rPr>
        <w:t>artner</w:t>
      </w:r>
      <w:r w:rsidR="00497A19">
        <w:rPr>
          <w:bCs/>
        </w:rPr>
        <w:t xml:space="preserve"> up with a fellow student in MTH 121.</w:t>
      </w:r>
      <w:r w:rsidR="00F00DC5">
        <w:rPr>
          <w:bCs/>
        </w:rPr>
        <w:tab/>
      </w:r>
    </w:p>
    <w:p w14:paraId="541AF362" w14:textId="60EF89D6" w:rsidR="00DF0B0F" w:rsidRPr="00DF0B0F" w:rsidRDefault="00DF0B0F" w:rsidP="00497A19">
      <w:pPr>
        <w:spacing w:after="0" w:line="240" w:lineRule="auto"/>
        <w:ind w:left="360" w:hanging="360"/>
        <w:rPr>
          <w:bCs/>
        </w:rPr>
      </w:pPr>
      <w:r w:rsidRPr="00DF0B0F">
        <w:rPr>
          <w:bCs/>
        </w:rPr>
        <w:t>2</w:t>
      </w:r>
      <w:r w:rsidR="00F00DC5">
        <w:rPr>
          <w:bCs/>
        </w:rPr>
        <w:tab/>
        <w:t>Review our textbook</w:t>
      </w:r>
      <w:r w:rsidR="00A00B55">
        <w:rPr>
          <w:bCs/>
        </w:rPr>
        <w:t xml:space="preserve"> (specific chapters and pages are indicated here). </w:t>
      </w:r>
      <w:r w:rsidR="00DD6FE4">
        <w:rPr>
          <w:bCs/>
        </w:rPr>
        <w:t>Choose one project idea (e.g., determining bacteria growth</w:t>
      </w:r>
      <w:r w:rsidR="00497A19">
        <w:rPr>
          <w:bCs/>
        </w:rPr>
        <w:t>, computing compound interest for a car loan, determining cooking recipes</w:t>
      </w:r>
      <w:r w:rsidR="00DD6FE4">
        <w:rPr>
          <w:bCs/>
        </w:rPr>
        <w:t>)</w:t>
      </w:r>
      <w:r w:rsidR="00497A19">
        <w:rPr>
          <w:bCs/>
        </w:rPr>
        <w:t>.</w:t>
      </w:r>
    </w:p>
    <w:p w14:paraId="3DD0C31C" w14:textId="55EE16CF" w:rsidR="00DF0B0F" w:rsidRPr="00DF0B0F" w:rsidRDefault="00497A19" w:rsidP="00497A19">
      <w:pPr>
        <w:spacing w:after="0" w:line="240" w:lineRule="auto"/>
        <w:ind w:left="360" w:hanging="360"/>
        <w:rPr>
          <w:bCs/>
        </w:rPr>
      </w:pPr>
      <w:r>
        <w:rPr>
          <w:bCs/>
        </w:rPr>
        <w:t>3</w:t>
      </w:r>
      <w:r w:rsidR="00DD6FE4">
        <w:rPr>
          <w:bCs/>
        </w:rPr>
        <w:tab/>
      </w:r>
      <w:r>
        <w:rPr>
          <w:bCs/>
        </w:rPr>
        <w:t>Explain why you and your partner chose this particular project.</w:t>
      </w:r>
    </w:p>
    <w:p w14:paraId="18B42EAD" w14:textId="190DB61A" w:rsidR="00DF0B0F" w:rsidRPr="00DF0B0F" w:rsidRDefault="00497A19" w:rsidP="00497A19">
      <w:pPr>
        <w:spacing w:after="0" w:line="240" w:lineRule="auto"/>
        <w:ind w:left="360" w:hanging="360"/>
        <w:rPr>
          <w:bCs/>
        </w:rPr>
      </w:pPr>
      <w:r>
        <w:rPr>
          <w:bCs/>
        </w:rPr>
        <w:t>4</w:t>
      </w:r>
      <w:r>
        <w:rPr>
          <w:bCs/>
        </w:rPr>
        <w:tab/>
        <w:t>Represent quantitative information using appropriate equations. Solve the problem.</w:t>
      </w:r>
    </w:p>
    <w:p w14:paraId="588FB944" w14:textId="186B2182" w:rsidR="00DF0B0F" w:rsidRPr="00DF0B0F" w:rsidRDefault="00497A19" w:rsidP="00497A19">
      <w:pPr>
        <w:spacing w:after="0" w:line="240" w:lineRule="auto"/>
        <w:ind w:left="360" w:hanging="360"/>
        <w:rPr>
          <w:bCs/>
        </w:rPr>
      </w:pPr>
      <w:r>
        <w:rPr>
          <w:bCs/>
        </w:rPr>
        <w:t>5</w:t>
      </w:r>
      <w:r w:rsidRPr="00497A19">
        <w:rPr>
          <w:bCs/>
        </w:rPr>
        <w:t xml:space="preserve"> </w:t>
      </w:r>
      <w:r>
        <w:rPr>
          <w:bCs/>
        </w:rPr>
        <w:tab/>
      </w:r>
      <w:r w:rsidRPr="00497A19">
        <w:rPr>
          <w:bCs/>
        </w:rPr>
        <w:t>Develop presentation in Powerpoint.</w:t>
      </w:r>
      <w:r w:rsidR="000229FC">
        <w:rPr>
          <w:bCs/>
        </w:rPr>
        <w:t xml:space="preserve"> Ensure that your presentation has a) title page, b) introduction, c) context, d) quantitative representation, e) results, f) interpretation of results, and g) significance.</w:t>
      </w:r>
    </w:p>
    <w:p w14:paraId="059B6EE2" w14:textId="328B0B74" w:rsidR="00497A19" w:rsidRDefault="00497A19" w:rsidP="00497A19">
      <w:pPr>
        <w:spacing w:after="0" w:line="240" w:lineRule="auto"/>
        <w:ind w:left="360" w:hanging="360"/>
        <w:rPr>
          <w:bCs/>
        </w:rPr>
      </w:pPr>
      <w:r>
        <w:rPr>
          <w:bCs/>
        </w:rPr>
        <w:t>6</w:t>
      </w:r>
      <w:r w:rsidRPr="00497A19">
        <w:rPr>
          <w:bCs/>
        </w:rPr>
        <w:t xml:space="preserve"> </w:t>
      </w:r>
      <w:r>
        <w:rPr>
          <w:bCs/>
        </w:rPr>
        <w:tab/>
      </w:r>
      <w:r w:rsidRPr="00497A19">
        <w:rPr>
          <w:bCs/>
        </w:rPr>
        <w:t xml:space="preserve">Present </w:t>
      </w:r>
      <w:r w:rsidR="000229FC">
        <w:rPr>
          <w:bCs/>
        </w:rPr>
        <w:t xml:space="preserve">the </w:t>
      </w:r>
      <w:r w:rsidRPr="00497A19">
        <w:rPr>
          <w:bCs/>
        </w:rPr>
        <w:t xml:space="preserve">Powerpoint </w:t>
      </w:r>
      <w:r w:rsidR="000229FC">
        <w:rPr>
          <w:bCs/>
        </w:rPr>
        <w:t xml:space="preserve">slides </w:t>
      </w:r>
      <w:r w:rsidRPr="00497A19">
        <w:rPr>
          <w:bCs/>
        </w:rPr>
        <w:t>with partner in class.</w:t>
      </w:r>
      <w:r>
        <w:rPr>
          <w:bCs/>
        </w:rPr>
        <w:t xml:space="preserve"> Ensure that you and your partner are equally involved</w:t>
      </w:r>
      <w:r w:rsidR="000229FC">
        <w:rPr>
          <w:bCs/>
        </w:rPr>
        <w:t xml:space="preserve"> in discussing each slide.</w:t>
      </w:r>
    </w:p>
    <w:p w14:paraId="01A6F9B5" w14:textId="7DC64EE5" w:rsidR="005A0891" w:rsidRDefault="005A0891" w:rsidP="005A0891">
      <w:pPr>
        <w:spacing w:after="0" w:line="240" w:lineRule="auto"/>
        <w:rPr>
          <w:b/>
          <w:bCs/>
        </w:rPr>
      </w:pPr>
    </w:p>
    <w:p w14:paraId="3BCDA599" w14:textId="140F357B" w:rsidR="005A0891" w:rsidRDefault="005A0891" w:rsidP="005A0891">
      <w:pPr>
        <w:spacing w:after="0" w:line="240" w:lineRule="auto"/>
        <w:rPr>
          <w:b/>
          <w:bCs/>
        </w:rPr>
      </w:pPr>
      <w:r>
        <w:rPr>
          <w:b/>
          <w:bCs/>
        </w:rPr>
        <w:t>Rubric</w:t>
      </w:r>
    </w:p>
    <w:p w14:paraId="26836AE1" w14:textId="75EF8711" w:rsidR="005A0891" w:rsidRDefault="005A0891" w:rsidP="005A0891">
      <w:pPr>
        <w:spacing w:after="0" w:line="240" w:lineRule="auto"/>
        <w:rPr>
          <w:b/>
          <w:bCs/>
        </w:rPr>
      </w:pPr>
    </w:p>
    <w:p w14:paraId="011D99EE" w14:textId="34691A1A" w:rsidR="00972E56" w:rsidRPr="00972E56" w:rsidRDefault="00972E56" w:rsidP="00972E56">
      <w:pPr>
        <w:spacing w:after="0" w:line="240" w:lineRule="auto"/>
        <w:jc w:val="center"/>
        <w:rPr>
          <w:b/>
          <w:bCs/>
        </w:rPr>
      </w:pPr>
      <w:r w:rsidRPr="00972E56">
        <w:rPr>
          <w:b/>
          <w:bCs/>
        </w:rPr>
        <w:t>Quantitative Reasoning Rubric</w:t>
      </w:r>
    </w:p>
    <w:p w14:paraId="10B49567" w14:textId="77777777" w:rsidR="00972E56" w:rsidRPr="00972E56" w:rsidRDefault="00972E56" w:rsidP="00972E56">
      <w:pPr>
        <w:tabs>
          <w:tab w:val="left" w:pos="360"/>
        </w:tabs>
        <w:spacing w:after="0" w:line="240" w:lineRule="auto"/>
        <w:jc w:val="center"/>
        <w:rPr>
          <w:b/>
        </w:rPr>
      </w:pPr>
      <w:r w:rsidRPr="00972E56">
        <w:rPr>
          <w:b/>
        </w:rPr>
        <w:t>Adapted from NMHED Quantitative Reasoning rubric • Navajo Technical University</w:t>
      </w:r>
    </w:p>
    <w:p w14:paraId="0A8EF531" w14:textId="77777777" w:rsidR="00972E56" w:rsidRDefault="00972E56" w:rsidP="005A0891">
      <w:pPr>
        <w:spacing w:after="0" w:line="240" w:lineRule="auto"/>
        <w:rPr>
          <w:b/>
          <w:bCs/>
        </w:rPr>
      </w:pPr>
    </w:p>
    <w:p w14:paraId="3DF1E346" w14:textId="7D3A8787" w:rsidR="00A9563B" w:rsidRPr="00A9563B" w:rsidRDefault="00A9563B" w:rsidP="00A9563B">
      <w:pPr>
        <w:tabs>
          <w:tab w:val="left" w:pos="4320"/>
          <w:tab w:val="left" w:pos="8100"/>
        </w:tabs>
        <w:rPr>
          <w:rFonts w:ascii="Calibri" w:hAnsi="Calibri" w:cs="Calibri"/>
        </w:rPr>
      </w:pPr>
      <w:r w:rsidRPr="0083550F">
        <w:rPr>
          <w:rFonts w:ascii="Calibri" w:hAnsi="Calibri" w:cs="Calibri"/>
        </w:rPr>
        <w:t>Student:</w:t>
      </w:r>
      <w:r w:rsidRPr="0083550F">
        <w:rPr>
          <w:rFonts w:ascii="Calibri" w:hAnsi="Calibri" w:cs="Calibri"/>
        </w:rPr>
        <w:tab/>
        <w:t>Assignment:</w:t>
      </w:r>
      <w:r w:rsidRPr="0083550F">
        <w:rPr>
          <w:rFonts w:ascii="Calibri" w:hAnsi="Calibri" w:cs="Calibri"/>
        </w:rPr>
        <w:tab/>
        <w:t>Date:</w:t>
      </w:r>
    </w:p>
    <w:tbl>
      <w:tblPr>
        <w:tblStyle w:val="TableGrid"/>
        <w:tblW w:w="0" w:type="auto"/>
        <w:jc w:val="center"/>
        <w:tblLook w:val="04A0" w:firstRow="1" w:lastRow="0" w:firstColumn="1" w:lastColumn="0" w:noHBand="0" w:noVBand="1"/>
      </w:tblPr>
      <w:tblGrid>
        <w:gridCol w:w="1333"/>
        <w:gridCol w:w="2691"/>
        <w:gridCol w:w="2732"/>
        <w:gridCol w:w="2697"/>
        <w:gridCol w:w="1337"/>
      </w:tblGrid>
      <w:tr w:rsidR="00A9563B" w:rsidRPr="004612E0" w14:paraId="5C369912" w14:textId="77777777" w:rsidTr="00DF0B0F">
        <w:trPr>
          <w:jc w:val="center"/>
        </w:trPr>
        <w:tc>
          <w:tcPr>
            <w:tcW w:w="1333" w:type="dxa"/>
            <w:vMerge w:val="restart"/>
            <w:tcBorders>
              <w:left w:val="single" w:sz="4" w:space="0" w:color="auto"/>
              <w:right w:val="single" w:sz="4" w:space="0" w:color="auto"/>
            </w:tcBorders>
            <w:shd w:val="pct12" w:color="auto" w:fill="auto"/>
            <w:vAlign w:val="center"/>
          </w:tcPr>
          <w:p w14:paraId="4DD03E38" w14:textId="1F7CBE49" w:rsidR="005A0891" w:rsidRPr="00062249" w:rsidRDefault="005A0891" w:rsidP="004960FB">
            <w:pPr>
              <w:jc w:val="center"/>
              <w:rPr>
                <w:rFonts w:ascii="Calibri" w:hAnsi="Calibri" w:cs="Calibri"/>
                <w:sz w:val="20"/>
                <w:szCs w:val="20"/>
              </w:rPr>
            </w:pPr>
            <w:r w:rsidRPr="00062249">
              <w:rPr>
                <w:rFonts w:ascii="Calibri" w:hAnsi="Calibri" w:cs="Calibri"/>
                <w:sz w:val="20"/>
                <w:szCs w:val="20"/>
              </w:rPr>
              <w:t>Criteria</w:t>
            </w:r>
          </w:p>
        </w:tc>
        <w:tc>
          <w:tcPr>
            <w:tcW w:w="8120" w:type="dxa"/>
            <w:gridSpan w:val="3"/>
            <w:tcBorders>
              <w:left w:val="single" w:sz="4" w:space="0" w:color="auto"/>
              <w:right w:val="single" w:sz="4" w:space="0" w:color="auto"/>
            </w:tcBorders>
            <w:shd w:val="pct12" w:color="auto" w:fill="auto"/>
          </w:tcPr>
          <w:p w14:paraId="48EFC29C" w14:textId="77777777" w:rsidR="005A0891" w:rsidRPr="00062249" w:rsidRDefault="005A0891" w:rsidP="004960FB">
            <w:pPr>
              <w:jc w:val="center"/>
              <w:rPr>
                <w:rFonts w:ascii="Calibri" w:hAnsi="Calibri" w:cs="Calibri"/>
                <w:sz w:val="20"/>
                <w:szCs w:val="20"/>
              </w:rPr>
            </w:pPr>
            <w:r w:rsidRPr="00062249">
              <w:rPr>
                <w:rFonts w:ascii="Calibri" w:hAnsi="Calibri" w:cs="Calibri"/>
                <w:sz w:val="20"/>
                <w:szCs w:val="20"/>
              </w:rPr>
              <w:t>SCALE</w:t>
            </w:r>
          </w:p>
        </w:tc>
        <w:tc>
          <w:tcPr>
            <w:tcW w:w="1337" w:type="dxa"/>
            <w:vMerge w:val="restart"/>
            <w:tcBorders>
              <w:left w:val="single" w:sz="4" w:space="0" w:color="auto"/>
            </w:tcBorders>
            <w:shd w:val="pct12" w:color="auto" w:fill="auto"/>
            <w:vAlign w:val="center"/>
          </w:tcPr>
          <w:p w14:paraId="3109B377" w14:textId="3D24D7EF" w:rsidR="005A0891" w:rsidRPr="00062249" w:rsidRDefault="00A9563B" w:rsidP="004960FB">
            <w:pPr>
              <w:jc w:val="center"/>
              <w:rPr>
                <w:rFonts w:ascii="Calibri" w:hAnsi="Calibri" w:cs="Calibri"/>
                <w:sz w:val="20"/>
                <w:szCs w:val="20"/>
              </w:rPr>
            </w:pPr>
            <w:r w:rsidRPr="00062249">
              <w:rPr>
                <w:rFonts w:ascii="Calibri" w:hAnsi="Calibri" w:cs="Calibri"/>
                <w:sz w:val="20"/>
                <w:szCs w:val="20"/>
              </w:rPr>
              <w:t>Scores &amp; comments</w:t>
            </w:r>
          </w:p>
        </w:tc>
      </w:tr>
      <w:tr w:rsidR="00062249" w:rsidRPr="004612E0" w14:paraId="0014F43C" w14:textId="77777777" w:rsidTr="00DF0B0F">
        <w:trPr>
          <w:jc w:val="center"/>
        </w:trPr>
        <w:tc>
          <w:tcPr>
            <w:tcW w:w="1333" w:type="dxa"/>
            <w:vMerge/>
            <w:tcBorders>
              <w:left w:val="single" w:sz="4" w:space="0" w:color="auto"/>
              <w:right w:val="single" w:sz="4" w:space="0" w:color="auto"/>
            </w:tcBorders>
            <w:shd w:val="pct12" w:color="auto" w:fill="auto"/>
          </w:tcPr>
          <w:p w14:paraId="359B3443" w14:textId="77777777" w:rsidR="005A0891" w:rsidRPr="00062249" w:rsidRDefault="005A0891" w:rsidP="004960FB">
            <w:pPr>
              <w:jc w:val="center"/>
              <w:rPr>
                <w:rFonts w:ascii="Calibri" w:hAnsi="Calibri" w:cs="Calibri"/>
                <w:sz w:val="20"/>
                <w:szCs w:val="20"/>
              </w:rPr>
            </w:pPr>
          </w:p>
        </w:tc>
        <w:tc>
          <w:tcPr>
            <w:tcW w:w="2691" w:type="dxa"/>
            <w:tcBorders>
              <w:left w:val="single" w:sz="4" w:space="0" w:color="auto"/>
              <w:right w:val="single" w:sz="4" w:space="0" w:color="auto"/>
            </w:tcBorders>
            <w:shd w:val="pct12" w:color="auto" w:fill="auto"/>
          </w:tcPr>
          <w:p w14:paraId="1E30B753" w14:textId="47C4F083" w:rsidR="005A0891" w:rsidRPr="00062249" w:rsidRDefault="005A0891" w:rsidP="004960FB">
            <w:pPr>
              <w:jc w:val="center"/>
              <w:rPr>
                <w:rFonts w:ascii="Calibri" w:hAnsi="Calibri" w:cs="Calibri"/>
                <w:sz w:val="20"/>
                <w:szCs w:val="20"/>
              </w:rPr>
            </w:pPr>
            <w:r w:rsidRPr="00062249">
              <w:rPr>
                <w:rFonts w:ascii="Calibri" w:hAnsi="Calibri" w:cs="Calibri"/>
                <w:sz w:val="20"/>
                <w:szCs w:val="20"/>
              </w:rPr>
              <w:t>Emerging (1)</w:t>
            </w:r>
          </w:p>
        </w:tc>
        <w:tc>
          <w:tcPr>
            <w:tcW w:w="2732" w:type="dxa"/>
            <w:tcBorders>
              <w:left w:val="single" w:sz="4" w:space="0" w:color="auto"/>
              <w:right w:val="single" w:sz="4" w:space="0" w:color="auto"/>
            </w:tcBorders>
            <w:shd w:val="pct12" w:color="auto" w:fill="auto"/>
          </w:tcPr>
          <w:p w14:paraId="4DF59B7B" w14:textId="7C37ED3E" w:rsidR="005A0891" w:rsidRPr="00062249" w:rsidRDefault="005A0891" w:rsidP="004960FB">
            <w:pPr>
              <w:jc w:val="center"/>
              <w:rPr>
                <w:rFonts w:ascii="Calibri" w:hAnsi="Calibri" w:cs="Calibri"/>
                <w:sz w:val="20"/>
                <w:szCs w:val="20"/>
              </w:rPr>
            </w:pPr>
            <w:r w:rsidRPr="00062249">
              <w:rPr>
                <w:rFonts w:ascii="Calibri" w:hAnsi="Calibri" w:cs="Calibri"/>
                <w:sz w:val="20"/>
                <w:szCs w:val="20"/>
              </w:rPr>
              <w:t>Developing (2)</w:t>
            </w:r>
          </w:p>
        </w:tc>
        <w:tc>
          <w:tcPr>
            <w:tcW w:w="2697" w:type="dxa"/>
            <w:tcBorders>
              <w:left w:val="single" w:sz="4" w:space="0" w:color="auto"/>
              <w:right w:val="single" w:sz="4" w:space="0" w:color="auto"/>
            </w:tcBorders>
            <w:shd w:val="pct12" w:color="auto" w:fill="auto"/>
          </w:tcPr>
          <w:p w14:paraId="625A9D97" w14:textId="445AEB5E" w:rsidR="005A0891" w:rsidRPr="00062249" w:rsidRDefault="005A0891" w:rsidP="004960FB">
            <w:pPr>
              <w:jc w:val="center"/>
              <w:rPr>
                <w:rFonts w:ascii="Calibri" w:hAnsi="Calibri" w:cs="Calibri"/>
                <w:sz w:val="20"/>
                <w:szCs w:val="20"/>
              </w:rPr>
            </w:pPr>
            <w:r w:rsidRPr="00062249">
              <w:rPr>
                <w:rFonts w:ascii="Calibri" w:hAnsi="Calibri" w:cs="Calibri"/>
                <w:sz w:val="20"/>
                <w:szCs w:val="20"/>
              </w:rPr>
              <w:t>Proficient (3)</w:t>
            </w:r>
          </w:p>
        </w:tc>
        <w:tc>
          <w:tcPr>
            <w:tcW w:w="1337" w:type="dxa"/>
            <w:vMerge/>
            <w:tcBorders>
              <w:left w:val="single" w:sz="4" w:space="0" w:color="auto"/>
            </w:tcBorders>
            <w:shd w:val="pct12" w:color="auto" w:fill="auto"/>
          </w:tcPr>
          <w:p w14:paraId="495C96E0" w14:textId="77777777" w:rsidR="005A0891" w:rsidRPr="005A0891" w:rsidRDefault="005A0891" w:rsidP="004960FB">
            <w:pPr>
              <w:jc w:val="center"/>
              <w:rPr>
                <w:rFonts w:ascii="Calibri" w:hAnsi="Calibri" w:cs="Calibri"/>
                <w:sz w:val="20"/>
                <w:szCs w:val="20"/>
              </w:rPr>
            </w:pPr>
          </w:p>
        </w:tc>
      </w:tr>
      <w:tr w:rsidR="00DF0B0F" w:rsidRPr="004612E0" w14:paraId="0A78B0C6" w14:textId="77777777" w:rsidTr="00DF0B0F">
        <w:trPr>
          <w:jc w:val="center"/>
        </w:trPr>
        <w:tc>
          <w:tcPr>
            <w:tcW w:w="1333" w:type="dxa"/>
            <w:tcBorders>
              <w:left w:val="single" w:sz="4" w:space="0" w:color="auto"/>
              <w:right w:val="single" w:sz="4" w:space="0" w:color="auto"/>
            </w:tcBorders>
          </w:tcPr>
          <w:p w14:paraId="3BE511FD" w14:textId="1211C41E" w:rsidR="00DF0B0F" w:rsidRPr="005A0891" w:rsidRDefault="00DF0B0F" w:rsidP="00DF0B0F">
            <w:pPr>
              <w:rPr>
                <w:rFonts w:ascii="Calibri" w:hAnsi="Calibri" w:cs="Calibri"/>
                <w:i/>
                <w:sz w:val="20"/>
                <w:szCs w:val="20"/>
              </w:rPr>
            </w:pPr>
            <w:r w:rsidRPr="00AD2F83">
              <w:rPr>
                <w:i/>
                <w:sz w:val="20"/>
                <w:szCs w:val="20"/>
              </w:rPr>
              <w:t>Express quantitative information</w:t>
            </w:r>
          </w:p>
        </w:tc>
        <w:tc>
          <w:tcPr>
            <w:tcW w:w="2691" w:type="dxa"/>
            <w:tcBorders>
              <w:left w:val="single" w:sz="4" w:space="0" w:color="auto"/>
              <w:right w:val="single" w:sz="4" w:space="0" w:color="auto"/>
            </w:tcBorders>
          </w:tcPr>
          <w:p w14:paraId="5DEFDD1E" w14:textId="492195BE" w:rsidR="00DF0B0F" w:rsidRPr="005A0891" w:rsidRDefault="00DF0B0F" w:rsidP="00DF0B0F">
            <w:pPr>
              <w:rPr>
                <w:rFonts w:ascii="Calibri" w:hAnsi="Calibri" w:cs="Calibri"/>
                <w:sz w:val="20"/>
                <w:szCs w:val="20"/>
              </w:rPr>
            </w:pPr>
            <w:r w:rsidRPr="00AD2F83">
              <w:rPr>
                <w:sz w:val="20"/>
                <w:szCs w:val="20"/>
              </w:rPr>
              <w:t>Student explains the meaning of graphics, numbers, or algebraic symbols within a given context.</w:t>
            </w:r>
          </w:p>
        </w:tc>
        <w:tc>
          <w:tcPr>
            <w:tcW w:w="2732" w:type="dxa"/>
            <w:tcBorders>
              <w:left w:val="single" w:sz="4" w:space="0" w:color="auto"/>
              <w:right w:val="single" w:sz="4" w:space="0" w:color="auto"/>
            </w:tcBorders>
          </w:tcPr>
          <w:p w14:paraId="5602A94E" w14:textId="0F8EB8A6" w:rsidR="00DF0B0F" w:rsidRPr="005A0891" w:rsidRDefault="00DF0B0F" w:rsidP="00DF0B0F">
            <w:pPr>
              <w:rPr>
                <w:rFonts w:ascii="Calibri" w:hAnsi="Calibri" w:cs="Calibri"/>
                <w:sz w:val="20"/>
                <w:szCs w:val="20"/>
              </w:rPr>
            </w:pPr>
            <w:r w:rsidRPr="00AD2F83">
              <w:rPr>
                <w:sz w:val="20"/>
                <w:szCs w:val="20"/>
              </w:rPr>
              <w:t>Emerging skill descriptions plus: Translates mathematical graphics and symbolism into written or oral language; translates written or oral language into mathematical symbols and graphics.</w:t>
            </w:r>
          </w:p>
        </w:tc>
        <w:tc>
          <w:tcPr>
            <w:tcW w:w="2697" w:type="dxa"/>
            <w:tcBorders>
              <w:left w:val="single" w:sz="4" w:space="0" w:color="auto"/>
              <w:right w:val="single" w:sz="4" w:space="0" w:color="auto"/>
            </w:tcBorders>
          </w:tcPr>
          <w:p w14:paraId="3F25F445" w14:textId="28C3B412" w:rsidR="00DF0B0F" w:rsidRPr="005A0891" w:rsidRDefault="00DF0B0F" w:rsidP="00DF0B0F">
            <w:pPr>
              <w:rPr>
                <w:rFonts w:ascii="Calibri" w:hAnsi="Calibri" w:cs="Calibri"/>
                <w:sz w:val="20"/>
                <w:szCs w:val="20"/>
              </w:rPr>
            </w:pPr>
            <w:r w:rsidRPr="00AD2F83">
              <w:rPr>
                <w:sz w:val="20"/>
                <w:szCs w:val="20"/>
              </w:rPr>
              <w:t>Developing skill descriptions plus: Integrates written and symbolic mathematical constructs in describing particular contexts.</w:t>
            </w:r>
          </w:p>
        </w:tc>
        <w:tc>
          <w:tcPr>
            <w:tcW w:w="1337" w:type="dxa"/>
            <w:tcBorders>
              <w:left w:val="single" w:sz="4" w:space="0" w:color="auto"/>
            </w:tcBorders>
          </w:tcPr>
          <w:p w14:paraId="2E18DA3A" w14:textId="77777777" w:rsidR="00DF0B0F" w:rsidRPr="005A0891" w:rsidRDefault="00DF0B0F" w:rsidP="00DF0B0F">
            <w:pPr>
              <w:rPr>
                <w:rFonts w:ascii="Calibri" w:hAnsi="Calibri" w:cs="Calibri"/>
                <w:sz w:val="20"/>
                <w:szCs w:val="20"/>
              </w:rPr>
            </w:pPr>
          </w:p>
        </w:tc>
      </w:tr>
      <w:tr w:rsidR="00DF0B0F" w:rsidRPr="004612E0" w14:paraId="390631FA" w14:textId="77777777" w:rsidTr="00DF0B0F">
        <w:trPr>
          <w:jc w:val="center"/>
        </w:trPr>
        <w:tc>
          <w:tcPr>
            <w:tcW w:w="1333" w:type="dxa"/>
            <w:tcBorders>
              <w:left w:val="single" w:sz="4" w:space="0" w:color="auto"/>
              <w:right w:val="single" w:sz="4" w:space="0" w:color="auto"/>
            </w:tcBorders>
          </w:tcPr>
          <w:p w14:paraId="53225D44" w14:textId="4E9D6A6B" w:rsidR="00DF0B0F" w:rsidRPr="005A0891" w:rsidRDefault="00DF0B0F" w:rsidP="00DF0B0F">
            <w:pPr>
              <w:rPr>
                <w:rFonts w:ascii="Calibri" w:hAnsi="Calibri" w:cs="Calibri"/>
                <w:i/>
                <w:sz w:val="20"/>
                <w:szCs w:val="20"/>
              </w:rPr>
            </w:pPr>
            <w:r w:rsidRPr="00AD2F83">
              <w:rPr>
                <w:i/>
                <w:sz w:val="20"/>
                <w:szCs w:val="20"/>
              </w:rPr>
              <w:t>Evaluate a quantitative argument</w:t>
            </w:r>
          </w:p>
        </w:tc>
        <w:tc>
          <w:tcPr>
            <w:tcW w:w="2691" w:type="dxa"/>
            <w:tcBorders>
              <w:left w:val="single" w:sz="4" w:space="0" w:color="auto"/>
              <w:right w:val="single" w:sz="4" w:space="0" w:color="auto"/>
            </w:tcBorders>
          </w:tcPr>
          <w:p w14:paraId="6860E287" w14:textId="287A761D" w:rsidR="00DF0B0F" w:rsidRPr="005A0891" w:rsidRDefault="00DF0B0F" w:rsidP="00DF0B0F">
            <w:pPr>
              <w:rPr>
                <w:rFonts w:ascii="Calibri" w:hAnsi="Calibri" w:cs="Calibri"/>
                <w:sz w:val="20"/>
                <w:szCs w:val="20"/>
              </w:rPr>
            </w:pPr>
            <w:r w:rsidRPr="00AD2F83">
              <w:rPr>
                <w:sz w:val="20"/>
                <w:szCs w:val="20"/>
              </w:rPr>
              <w:t>Student summarizes quantitative arguments presented by others.</w:t>
            </w:r>
          </w:p>
        </w:tc>
        <w:tc>
          <w:tcPr>
            <w:tcW w:w="2732" w:type="dxa"/>
            <w:tcBorders>
              <w:left w:val="single" w:sz="4" w:space="0" w:color="auto"/>
              <w:right w:val="single" w:sz="4" w:space="0" w:color="auto"/>
            </w:tcBorders>
          </w:tcPr>
          <w:p w14:paraId="67DF334D" w14:textId="714E8375" w:rsidR="00DF0B0F" w:rsidRPr="005A0891" w:rsidRDefault="00DF0B0F" w:rsidP="00DF0B0F">
            <w:pPr>
              <w:rPr>
                <w:rFonts w:ascii="Calibri" w:hAnsi="Calibri" w:cs="Calibri"/>
                <w:sz w:val="20"/>
                <w:szCs w:val="20"/>
              </w:rPr>
            </w:pPr>
            <w:r w:rsidRPr="00AD2F83">
              <w:rPr>
                <w:sz w:val="20"/>
                <w:szCs w:val="20"/>
              </w:rPr>
              <w:t>Emerging skill descriptions plus: Differentiates and describes the parts of a quantitative argument presented by others; compares the conclusions of a quantitative argument with conclusions from other reliable sources.</w:t>
            </w:r>
          </w:p>
        </w:tc>
        <w:tc>
          <w:tcPr>
            <w:tcW w:w="2697" w:type="dxa"/>
            <w:tcBorders>
              <w:left w:val="single" w:sz="4" w:space="0" w:color="auto"/>
              <w:right w:val="single" w:sz="4" w:space="0" w:color="auto"/>
            </w:tcBorders>
          </w:tcPr>
          <w:p w14:paraId="78BFFE24" w14:textId="76DFF193" w:rsidR="00DF0B0F" w:rsidRPr="005A0891" w:rsidRDefault="00DF0B0F" w:rsidP="00DF0B0F">
            <w:pPr>
              <w:rPr>
                <w:rFonts w:ascii="Calibri" w:hAnsi="Calibri" w:cs="Calibri"/>
                <w:sz w:val="20"/>
                <w:szCs w:val="20"/>
              </w:rPr>
            </w:pPr>
            <w:r w:rsidRPr="00AD2F83">
              <w:rPr>
                <w:sz w:val="20"/>
                <w:szCs w:val="20"/>
              </w:rPr>
              <w:t>Developing skill descriptions plus: Uses appropriate techniques of mathematical proof or statistical analysis, evaluates each component of a</w:t>
            </w:r>
            <w:r>
              <w:rPr>
                <w:sz w:val="20"/>
                <w:szCs w:val="20"/>
              </w:rPr>
              <w:t xml:space="preserve"> </w:t>
            </w:r>
            <w:r w:rsidRPr="00AD2F83">
              <w:rPr>
                <w:sz w:val="20"/>
                <w:szCs w:val="20"/>
              </w:rPr>
              <w:t>quantitative argument for mathematical validity and demonstrates whether an overall quantitative argument is valid, invalid, or questionable.</w:t>
            </w:r>
          </w:p>
        </w:tc>
        <w:tc>
          <w:tcPr>
            <w:tcW w:w="1337" w:type="dxa"/>
            <w:tcBorders>
              <w:left w:val="single" w:sz="4" w:space="0" w:color="auto"/>
            </w:tcBorders>
          </w:tcPr>
          <w:p w14:paraId="78859DDD" w14:textId="77777777" w:rsidR="00DF0B0F" w:rsidRPr="005A0891" w:rsidRDefault="00DF0B0F" w:rsidP="00DF0B0F">
            <w:pPr>
              <w:rPr>
                <w:rFonts w:ascii="Calibri" w:hAnsi="Calibri" w:cs="Calibri"/>
                <w:sz w:val="20"/>
                <w:szCs w:val="20"/>
              </w:rPr>
            </w:pPr>
          </w:p>
        </w:tc>
      </w:tr>
      <w:tr w:rsidR="00DF0B0F" w:rsidRPr="004612E0" w14:paraId="7532CBFB" w14:textId="77777777" w:rsidTr="00DF0B0F">
        <w:trPr>
          <w:jc w:val="center"/>
        </w:trPr>
        <w:tc>
          <w:tcPr>
            <w:tcW w:w="1333" w:type="dxa"/>
            <w:tcBorders>
              <w:left w:val="single" w:sz="4" w:space="0" w:color="auto"/>
              <w:right w:val="single" w:sz="4" w:space="0" w:color="auto"/>
            </w:tcBorders>
          </w:tcPr>
          <w:p w14:paraId="3DB8260D" w14:textId="08087B91" w:rsidR="00DF0B0F" w:rsidRPr="005A0891" w:rsidRDefault="00DF0B0F" w:rsidP="00DF0B0F">
            <w:pPr>
              <w:rPr>
                <w:rFonts w:ascii="Calibri" w:hAnsi="Calibri" w:cs="Calibri"/>
                <w:i/>
                <w:sz w:val="20"/>
                <w:szCs w:val="20"/>
              </w:rPr>
            </w:pPr>
            <w:r w:rsidRPr="00AD2F83">
              <w:rPr>
                <w:i/>
                <w:sz w:val="20"/>
                <w:szCs w:val="20"/>
              </w:rPr>
              <w:t>Interpret results to solve a problem</w:t>
            </w:r>
          </w:p>
        </w:tc>
        <w:tc>
          <w:tcPr>
            <w:tcW w:w="2691" w:type="dxa"/>
            <w:tcBorders>
              <w:left w:val="single" w:sz="4" w:space="0" w:color="auto"/>
              <w:right w:val="single" w:sz="4" w:space="0" w:color="auto"/>
            </w:tcBorders>
          </w:tcPr>
          <w:p w14:paraId="5C989F95" w14:textId="7D11F313" w:rsidR="00DF0B0F" w:rsidRPr="005A0891" w:rsidRDefault="00DF0B0F" w:rsidP="00DF0B0F">
            <w:pPr>
              <w:rPr>
                <w:rFonts w:ascii="Calibri" w:hAnsi="Calibri" w:cs="Calibri"/>
                <w:sz w:val="20"/>
                <w:szCs w:val="20"/>
              </w:rPr>
            </w:pPr>
            <w:r w:rsidRPr="00AD2F83">
              <w:rPr>
                <w:sz w:val="20"/>
                <w:szCs w:val="20"/>
              </w:rPr>
              <w:t>Student identifies, describes, and classifies quantitative information needed to address contextual problems.</w:t>
            </w:r>
          </w:p>
        </w:tc>
        <w:tc>
          <w:tcPr>
            <w:tcW w:w="2732" w:type="dxa"/>
            <w:tcBorders>
              <w:left w:val="single" w:sz="4" w:space="0" w:color="auto"/>
              <w:right w:val="single" w:sz="4" w:space="0" w:color="auto"/>
            </w:tcBorders>
          </w:tcPr>
          <w:p w14:paraId="662EEF51" w14:textId="6C160075" w:rsidR="00DF0B0F" w:rsidRPr="005A0891" w:rsidRDefault="00DF0B0F" w:rsidP="00DF0B0F">
            <w:pPr>
              <w:rPr>
                <w:rFonts w:ascii="Calibri" w:hAnsi="Calibri" w:cs="Calibri"/>
                <w:sz w:val="20"/>
                <w:szCs w:val="20"/>
              </w:rPr>
            </w:pPr>
            <w:r w:rsidRPr="00AD2F83">
              <w:rPr>
                <w:sz w:val="20"/>
                <w:szCs w:val="20"/>
              </w:rPr>
              <w:t>Emerging skill descriptions plus: Identifies appropriate mathematical or statistical models to represent quantitative information in contextual problems; applies those models to generate numeric predictions.</w:t>
            </w:r>
          </w:p>
        </w:tc>
        <w:tc>
          <w:tcPr>
            <w:tcW w:w="2697" w:type="dxa"/>
            <w:tcBorders>
              <w:left w:val="single" w:sz="4" w:space="0" w:color="auto"/>
              <w:right w:val="single" w:sz="4" w:space="0" w:color="auto"/>
            </w:tcBorders>
          </w:tcPr>
          <w:p w14:paraId="319FEE9D" w14:textId="084388D8" w:rsidR="00DF0B0F" w:rsidRPr="005A0891" w:rsidRDefault="00DF0B0F" w:rsidP="00DF0B0F">
            <w:pPr>
              <w:rPr>
                <w:rFonts w:ascii="Calibri" w:hAnsi="Calibri" w:cs="Calibri"/>
                <w:sz w:val="20"/>
                <w:szCs w:val="20"/>
              </w:rPr>
            </w:pPr>
            <w:r w:rsidRPr="00AD2F83">
              <w:rPr>
                <w:sz w:val="20"/>
                <w:szCs w:val="20"/>
              </w:rPr>
              <w:t>Developing skill descriptions plus: Assesses the validity of numeric predictions and correct unreasonable findings; analyzes and interprets results; uses them in a quantitative argument to support a position or line of reasoning or solve a contextual problem.</w:t>
            </w:r>
          </w:p>
        </w:tc>
        <w:tc>
          <w:tcPr>
            <w:tcW w:w="1337" w:type="dxa"/>
            <w:tcBorders>
              <w:left w:val="single" w:sz="4" w:space="0" w:color="auto"/>
            </w:tcBorders>
          </w:tcPr>
          <w:p w14:paraId="5F91BDFF" w14:textId="77777777" w:rsidR="00DF0B0F" w:rsidRPr="005A0891" w:rsidRDefault="00DF0B0F" w:rsidP="00DF0B0F">
            <w:pPr>
              <w:rPr>
                <w:rFonts w:ascii="Calibri" w:hAnsi="Calibri" w:cs="Calibri"/>
                <w:sz w:val="20"/>
                <w:szCs w:val="20"/>
              </w:rPr>
            </w:pPr>
          </w:p>
        </w:tc>
      </w:tr>
      <w:tr w:rsidR="00DF0B0F" w:rsidRPr="004612E0" w14:paraId="066A210C" w14:textId="77777777" w:rsidTr="00DF0B0F">
        <w:trPr>
          <w:jc w:val="center"/>
        </w:trPr>
        <w:tc>
          <w:tcPr>
            <w:tcW w:w="10790" w:type="dxa"/>
            <w:gridSpan w:val="5"/>
            <w:tcBorders>
              <w:left w:val="single" w:sz="4" w:space="0" w:color="auto"/>
              <w:bottom w:val="single" w:sz="4" w:space="0" w:color="auto"/>
            </w:tcBorders>
          </w:tcPr>
          <w:p w14:paraId="778D6ABB" w14:textId="7691080F" w:rsidR="00DF0B0F" w:rsidRPr="005A0891" w:rsidRDefault="00DF0B0F" w:rsidP="00DF0B0F">
            <w:pPr>
              <w:rPr>
                <w:rFonts w:ascii="Calibri" w:hAnsi="Calibri" w:cs="Calibri"/>
                <w:sz w:val="20"/>
                <w:szCs w:val="20"/>
              </w:rPr>
            </w:pPr>
            <w:r w:rsidRPr="00062249">
              <w:rPr>
                <w:rFonts w:ascii="Calibri" w:hAnsi="Calibri" w:cs="Calibri"/>
                <w:sz w:val="20"/>
                <w:szCs w:val="20"/>
              </w:rPr>
              <w:t>Overall comments</w:t>
            </w:r>
          </w:p>
          <w:p w14:paraId="67140754" w14:textId="77777777" w:rsidR="00DF0B0F" w:rsidRPr="005A0891" w:rsidRDefault="00DF0B0F" w:rsidP="00DF0B0F">
            <w:pPr>
              <w:rPr>
                <w:rFonts w:ascii="Calibri" w:hAnsi="Calibri" w:cs="Calibri"/>
                <w:sz w:val="20"/>
                <w:szCs w:val="20"/>
              </w:rPr>
            </w:pPr>
          </w:p>
        </w:tc>
      </w:tr>
    </w:tbl>
    <w:p w14:paraId="3A1E47CE" w14:textId="77777777" w:rsidR="005A0891" w:rsidRPr="005A0891" w:rsidRDefault="005A0891" w:rsidP="005A0891">
      <w:pPr>
        <w:spacing w:after="0" w:line="240" w:lineRule="auto"/>
        <w:rPr>
          <w:b/>
          <w:bCs/>
        </w:rPr>
      </w:pPr>
    </w:p>
    <w:p w14:paraId="50E5EE88" w14:textId="7FEEFEE4" w:rsidR="005A0891" w:rsidRPr="006A562D" w:rsidRDefault="00351DF1" w:rsidP="00351DF1">
      <w:pPr>
        <w:jc w:val="center"/>
        <w:rPr>
          <w:bCs/>
        </w:rPr>
      </w:pPr>
      <w:r>
        <w:rPr>
          <w:bCs/>
        </w:rPr>
        <w:t>Scale: 9-8 points = A; 7 points = B; 6-5 points = C; 4 points = D; less than 4 = F</w:t>
      </w:r>
    </w:p>
    <w:sectPr w:rsidR="005A0891" w:rsidRPr="006A562D" w:rsidSect="00B677DB">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D3F8" w14:textId="77777777" w:rsidR="00CC4DF6" w:rsidRDefault="00CC4DF6" w:rsidP="00B677DB">
      <w:pPr>
        <w:spacing w:after="0" w:line="240" w:lineRule="auto"/>
      </w:pPr>
      <w:r>
        <w:separator/>
      </w:r>
    </w:p>
  </w:endnote>
  <w:endnote w:type="continuationSeparator" w:id="0">
    <w:p w14:paraId="02B5A2A2" w14:textId="77777777" w:rsidR="00CC4DF6" w:rsidRDefault="00CC4DF6" w:rsidP="00B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80799" w14:textId="77777777" w:rsidR="00CC4DF6" w:rsidRDefault="00CC4DF6" w:rsidP="00B677DB">
      <w:pPr>
        <w:spacing w:after="0" w:line="240" w:lineRule="auto"/>
      </w:pPr>
      <w:r>
        <w:separator/>
      </w:r>
    </w:p>
  </w:footnote>
  <w:footnote w:type="continuationSeparator" w:id="0">
    <w:p w14:paraId="435BA051" w14:textId="77777777" w:rsidR="00CC4DF6" w:rsidRDefault="00CC4DF6" w:rsidP="00B6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DDD0" w14:textId="77777777" w:rsidR="00B677DB" w:rsidRPr="00BC2873" w:rsidRDefault="00B677DB" w:rsidP="00B677DB">
    <w:pPr>
      <w:tabs>
        <w:tab w:val="left" w:pos="4320"/>
        <w:tab w:val="left" w:pos="5940"/>
      </w:tabs>
      <w:spacing w:after="0"/>
      <w:jc w:val="center"/>
      <w:rPr>
        <w:rFonts w:cs="Calibri"/>
        <w:smallCaps/>
        <w:sz w:val="32"/>
        <w:szCs w:val="32"/>
      </w:rPr>
    </w:pPr>
    <w:r w:rsidRPr="00BC2873">
      <w:rPr>
        <w:rFonts w:cs="Calibri"/>
        <w:smallCaps/>
        <w:sz w:val="32"/>
        <w:szCs w:val="32"/>
      </w:rPr>
      <w:t>New Mexico Higher Education Department</w:t>
    </w:r>
  </w:p>
  <w:p w14:paraId="5AF837C6" w14:textId="77777777" w:rsidR="00B677DB" w:rsidRDefault="00B677DB" w:rsidP="00B677DB">
    <w:pPr>
      <w:spacing w:after="0"/>
      <w:rPr>
        <w:rFonts w:cs="Calibri"/>
        <w:smallCaps/>
      </w:rPr>
    </w:pPr>
    <w:r w:rsidRPr="00BC2873">
      <w:rPr>
        <w:rFonts w:cs="Calibri"/>
        <w:smallCaps/>
      </w:rPr>
      <w:t xml:space="preserve">         </w:t>
    </w:r>
    <w:r>
      <w:rPr>
        <w:noProof/>
      </w:rPr>
      <w:drawing>
        <wp:anchor distT="0" distB="0" distL="114300" distR="114300" simplePos="0" relativeHeight="251659264" behindDoc="1" locked="1" layoutInCell="1" allowOverlap="1" wp14:anchorId="14A0A575" wp14:editId="71F841E2">
          <wp:simplePos x="0" y="0"/>
          <wp:positionH relativeFrom="margin">
            <wp:align>center</wp:align>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07E25" w14:textId="77777777" w:rsidR="00B677DB" w:rsidRDefault="00B677DB" w:rsidP="00B677DB">
    <w:pPr>
      <w:spacing w:after="0"/>
      <w:rPr>
        <w:rFonts w:cs="Calibri"/>
        <w:smallCaps/>
      </w:rPr>
    </w:pPr>
  </w:p>
  <w:p w14:paraId="7F743BC3" w14:textId="77777777" w:rsidR="00B677DB" w:rsidRDefault="00B677DB" w:rsidP="00B677DB">
    <w:pPr>
      <w:spacing w:after="0"/>
      <w:rPr>
        <w:rFonts w:cs="Calibri"/>
        <w:smallCaps/>
      </w:rPr>
    </w:pPr>
  </w:p>
  <w:p w14:paraId="29259E74" w14:textId="77777777" w:rsidR="00B677DB" w:rsidRDefault="00B677DB" w:rsidP="00B677DB">
    <w:pPr>
      <w:spacing w:after="0"/>
      <w:rPr>
        <w:rFonts w:cs="Calibri"/>
        <w:i/>
        <w:smallCaps/>
      </w:rPr>
    </w:pPr>
    <w:r w:rsidRPr="00BC2873">
      <w:rPr>
        <w:rFonts w:cs="Calibri"/>
        <w:smallCaps/>
      </w:rPr>
      <w:t xml:space="preserve">  </w:t>
    </w:r>
    <w:r>
      <w:rPr>
        <w:rFonts w:cs="Calibri"/>
        <w:smallCaps/>
      </w:rPr>
      <w:t xml:space="preserve">     </w:t>
    </w:r>
    <w:r w:rsidRPr="00BC2873">
      <w:rPr>
        <w:rFonts w:cs="Calibri"/>
        <w:smallCaps/>
      </w:rPr>
      <w:t>Susana Martinez</w:t>
    </w:r>
    <w:r>
      <w:rPr>
        <w:rFonts w:cs="Calibri"/>
        <w:smallCaps/>
      </w:rPr>
      <w:tab/>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t>Dr. Barbara Damron</w:t>
    </w:r>
    <w:r w:rsidRPr="001A293C">
      <w:rPr>
        <w:rFonts w:cs="Calibri"/>
        <w:i/>
        <w:smallCaps/>
      </w:rPr>
      <w:t xml:space="preserve"> </w:t>
    </w:r>
  </w:p>
  <w:p w14:paraId="233C904C" w14:textId="77777777" w:rsidR="00B677DB" w:rsidRDefault="00B677DB" w:rsidP="00B677DB">
    <w:pPr>
      <w:tabs>
        <w:tab w:val="left" w:pos="540"/>
        <w:tab w:val="left" w:pos="630"/>
        <w:tab w:val="left" w:pos="720"/>
        <w:tab w:val="left" w:pos="1710"/>
        <w:tab w:val="left" w:pos="1800"/>
      </w:tabs>
      <w:spacing w:after="0"/>
      <w:ind w:right="54"/>
      <w:rPr>
        <w:rFonts w:cs="Calibri"/>
        <w:smallCaps/>
      </w:rPr>
    </w:pPr>
    <w:r>
      <w:rPr>
        <w:rFonts w:cs="Calibri"/>
        <w:i/>
        <w:smallCaps/>
      </w:rPr>
      <w:tab/>
    </w:r>
    <w:r w:rsidRPr="001A293C">
      <w:rPr>
        <w:rFonts w:cs="Calibri"/>
        <w:i/>
        <w:smallCaps/>
      </w:rPr>
      <w:t>Governor</w:t>
    </w:r>
    <w:r>
      <w:rPr>
        <w:rFonts w:cs="Calibri"/>
        <w:smallCaps/>
      </w:rPr>
      <w:tab/>
    </w:r>
    <w:r>
      <w:rPr>
        <w:rFonts w:cs="Calibri"/>
        <w:smallCaps/>
      </w:rPr>
      <w:tab/>
    </w:r>
    <w:r>
      <w:rPr>
        <w:rFonts w:cs="Calibri"/>
        <w:smallCaps/>
      </w:rPr>
      <w:tab/>
    </w:r>
    <w:r>
      <w:rPr>
        <w:rFonts w:cs="Calibri"/>
        <w:smallCaps/>
      </w:rPr>
      <w:tab/>
      <w:t xml:space="preserve">                                                                 </w:t>
    </w:r>
    <w:r>
      <w:rPr>
        <w:rFonts w:cs="Calibri"/>
        <w:smallCaps/>
      </w:rPr>
      <w:tab/>
    </w:r>
    <w:r>
      <w:rPr>
        <w:rFonts w:cs="Calibri"/>
        <w:smallCaps/>
      </w:rPr>
      <w:tab/>
    </w:r>
    <w:r>
      <w:rPr>
        <w:rFonts w:cs="Calibri"/>
        <w:smallCaps/>
      </w:rPr>
      <w:tab/>
      <w:t xml:space="preserve">     </w:t>
    </w:r>
    <w:r w:rsidRPr="001A293C">
      <w:rPr>
        <w:rFonts w:cs="Calibri"/>
        <w:i/>
        <w:smallCaps/>
      </w:rPr>
      <w:t>Cabinet Secretary</w:t>
    </w:r>
  </w:p>
  <w:p w14:paraId="65788A60" w14:textId="77777777" w:rsidR="00B677DB" w:rsidRDefault="00B677DB" w:rsidP="00B677DB">
    <w:pPr>
      <w:pStyle w:val="Header"/>
      <w:jc w:val="center"/>
      <w:rPr>
        <w:b/>
      </w:rPr>
    </w:pPr>
  </w:p>
  <w:p w14:paraId="5C616BC0" w14:textId="77777777" w:rsidR="00B677DB" w:rsidRDefault="00B677DB" w:rsidP="00B677DB">
    <w:pPr>
      <w:pStyle w:val="Header"/>
      <w:jc w:val="center"/>
      <w:rPr>
        <w:b/>
      </w:rPr>
    </w:pPr>
  </w:p>
  <w:p w14:paraId="206F8DA7" w14:textId="77777777" w:rsidR="00B677DB" w:rsidRDefault="00250535" w:rsidP="00250535">
    <w:pPr>
      <w:pStyle w:val="Header"/>
      <w:tabs>
        <w:tab w:val="clear" w:pos="4680"/>
        <w:tab w:val="clear" w:pos="9360"/>
        <w:tab w:val="left" w:pos="2640"/>
      </w:tabs>
      <w:jc w:val="center"/>
    </w:pPr>
    <w:r w:rsidRPr="00B677DB">
      <w:rPr>
        <w:b/>
        <w:sz w:val="28"/>
        <w:szCs w:val="28"/>
      </w:rPr>
      <w:t>New Mexico General Education Curriculum</w:t>
    </w:r>
    <w:r>
      <w:rPr>
        <w:sz w:val="28"/>
        <w:szCs w:val="28"/>
      </w:rPr>
      <w:t xml:space="preserve"> </w:t>
    </w:r>
    <w:r w:rsidRPr="00250535">
      <w:rPr>
        <w:b/>
        <w:sz w:val="28"/>
        <w:szCs w:val="28"/>
      </w:rPr>
      <w:t>Course Certification</w:t>
    </w:r>
    <w:r>
      <w:rPr>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90E"/>
    <w:multiLevelType w:val="hybridMultilevel"/>
    <w:tmpl w:val="50A8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E6A9A"/>
    <w:multiLevelType w:val="hybridMultilevel"/>
    <w:tmpl w:val="07D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F226F"/>
    <w:multiLevelType w:val="hybridMultilevel"/>
    <w:tmpl w:val="3AFA05B8"/>
    <w:lvl w:ilvl="0" w:tplc="E9980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9A359E"/>
    <w:multiLevelType w:val="hybridMultilevel"/>
    <w:tmpl w:val="0666D3B8"/>
    <w:lvl w:ilvl="0" w:tplc="DF60F96E">
      <w:start w:val="1"/>
      <w:numFmt w:val="upperLetter"/>
      <w:lvlText w:val="%1."/>
      <w:lvlJc w:val="left"/>
      <w:pPr>
        <w:ind w:left="360"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5F4E74D0"/>
    <w:multiLevelType w:val="hybridMultilevel"/>
    <w:tmpl w:val="50A8A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367800"/>
    <w:multiLevelType w:val="hybridMultilevel"/>
    <w:tmpl w:val="3080F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B25C4A"/>
    <w:multiLevelType w:val="hybridMultilevel"/>
    <w:tmpl w:val="A456F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4DE"/>
    <w:rsid w:val="00005E92"/>
    <w:rsid w:val="000157C6"/>
    <w:rsid w:val="00017576"/>
    <w:rsid w:val="000229FC"/>
    <w:rsid w:val="00052913"/>
    <w:rsid w:val="00060DE7"/>
    <w:rsid w:val="00062249"/>
    <w:rsid w:val="000A343D"/>
    <w:rsid w:val="00133BE2"/>
    <w:rsid w:val="00150235"/>
    <w:rsid w:val="00174FC2"/>
    <w:rsid w:val="001933B7"/>
    <w:rsid w:val="001D0E81"/>
    <w:rsid w:val="001E1F9A"/>
    <w:rsid w:val="00204E7B"/>
    <w:rsid w:val="00233480"/>
    <w:rsid w:val="00243E7C"/>
    <w:rsid w:val="00250535"/>
    <w:rsid w:val="00297538"/>
    <w:rsid w:val="003263E1"/>
    <w:rsid w:val="00327E6D"/>
    <w:rsid w:val="00351DF1"/>
    <w:rsid w:val="00356CE7"/>
    <w:rsid w:val="00367581"/>
    <w:rsid w:val="003A01A3"/>
    <w:rsid w:val="003A0D24"/>
    <w:rsid w:val="00420B6F"/>
    <w:rsid w:val="00486E97"/>
    <w:rsid w:val="00487F71"/>
    <w:rsid w:val="00497A19"/>
    <w:rsid w:val="004D3D09"/>
    <w:rsid w:val="004F1EB8"/>
    <w:rsid w:val="005000A9"/>
    <w:rsid w:val="00502A13"/>
    <w:rsid w:val="00570688"/>
    <w:rsid w:val="005A0891"/>
    <w:rsid w:val="006128D7"/>
    <w:rsid w:val="00612C94"/>
    <w:rsid w:val="00633C03"/>
    <w:rsid w:val="00640919"/>
    <w:rsid w:val="006513DB"/>
    <w:rsid w:val="00665C44"/>
    <w:rsid w:val="006A2474"/>
    <w:rsid w:val="006A298E"/>
    <w:rsid w:val="006A562D"/>
    <w:rsid w:val="006E1954"/>
    <w:rsid w:val="006F4C18"/>
    <w:rsid w:val="007057A7"/>
    <w:rsid w:val="00706E42"/>
    <w:rsid w:val="007754C2"/>
    <w:rsid w:val="007A0705"/>
    <w:rsid w:val="007C152D"/>
    <w:rsid w:val="007E21F1"/>
    <w:rsid w:val="008252F6"/>
    <w:rsid w:val="008B71FF"/>
    <w:rsid w:val="008F0486"/>
    <w:rsid w:val="008F63B4"/>
    <w:rsid w:val="009267F0"/>
    <w:rsid w:val="00926B45"/>
    <w:rsid w:val="00927ADF"/>
    <w:rsid w:val="0093617F"/>
    <w:rsid w:val="00972E56"/>
    <w:rsid w:val="009C5E7D"/>
    <w:rsid w:val="00A00B55"/>
    <w:rsid w:val="00A137AB"/>
    <w:rsid w:val="00A504D3"/>
    <w:rsid w:val="00A5217A"/>
    <w:rsid w:val="00A61272"/>
    <w:rsid w:val="00A61E4D"/>
    <w:rsid w:val="00A66C36"/>
    <w:rsid w:val="00A8081A"/>
    <w:rsid w:val="00A9563B"/>
    <w:rsid w:val="00AC18A6"/>
    <w:rsid w:val="00AE1364"/>
    <w:rsid w:val="00AF12A7"/>
    <w:rsid w:val="00B01785"/>
    <w:rsid w:val="00B05B2A"/>
    <w:rsid w:val="00B3371B"/>
    <w:rsid w:val="00B349C8"/>
    <w:rsid w:val="00B677DB"/>
    <w:rsid w:val="00B80E81"/>
    <w:rsid w:val="00B85196"/>
    <w:rsid w:val="00BC5E06"/>
    <w:rsid w:val="00C2528E"/>
    <w:rsid w:val="00C252EA"/>
    <w:rsid w:val="00C44113"/>
    <w:rsid w:val="00C443FD"/>
    <w:rsid w:val="00C6483D"/>
    <w:rsid w:val="00C7551C"/>
    <w:rsid w:val="00C804DE"/>
    <w:rsid w:val="00CC4DF6"/>
    <w:rsid w:val="00CE49E1"/>
    <w:rsid w:val="00D162B5"/>
    <w:rsid w:val="00D17CD3"/>
    <w:rsid w:val="00D62965"/>
    <w:rsid w:val="00D77F50"/>
    <w:rsid w:val="00DB0C04"/>
    <w:rsid w:val="00DC1EEE"/>
    <w:rsid w:val="00DD12F2"/>
    <w:rsid w:val="00DD6FE4"/>
    <w:rsid w:val="00DF0B0F"/>
    <w:rsid w:val="00DF2A0C"/>
    <w:rsid w:val="00E27C14"/>
    <w:rsid w:val="00EA0014"/>
    <w:rsid w:val="00ED2298"/>
    <w:rsid w:val="00EF40AA"/>
    <w:rsid w:val="00F00DC5"/>
    <w:rsid w:val="00F8265F"/>
    <w:rsid w:val="00FE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2675"/>
  <w15:docId w15:val="{1294CE48-EE62-CD47-A1CC-529ABA9B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4DE"/>
    <w:pPr>
      <w:spacing w:after="0" w:line="240" w:lineRule="auto"/>
      <w:ind w:left="720"/>
      <w:contextualSpacing/>
    </w:pPr>
    <w:rPr>
      <w:sz w:val="24"/>
      <w:szCs w:val="24"/>
    </w:rPr>
  </w:style>
  <w:style w:type="character" w:styleId="PlaceholderText">
    <w:name w:val="Placeholder Text"/>
    <w:basedOn w:val="DefaultParagraphFont"/>
    <w:uiPriority w:val="99"/>
    <w:semiHidden/>
    <w:rsid w:val="00C804DE"/>
    <w:rPr>
      <w:color w:val="808080"/>
    </w:rPr>
  </w:style>
  <w:style w:type="paragraph" w:styleId="Header">
    <w:name w:val="header"/>
    <w:basedOn w:val="Normal"/>
    <w:link w:val="HeaderChar"/>
    <w:uiPriority w:val="99"/>
    <w:unhideWhenUsed/>
    <w:rsid w:val="00B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7DB"/>
  </w:style>
  <w:style w:type="paragraph" w:styleId="Footer">
    <w:name w:val="footer"/>
    <w:basedOn w:val="Normal"/>
    <w:link w:val="FooterChar"/>
    <w:uiPriority w:val="99"/>
    <w:unhideWhenUsed/>
    <w:rsid w:val="00B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7DB"/>
  </w:style>
  <w:style w:type="paragraph" w:styleId="BalloonText">
    <w:name w:val="Balloon Text"/>
    <w:basedOn w:val="Normal"/>
    <w:link w:val="BalloonTextChar"/>
    <w:uiPriority w:val="99"/>
    <w:semiHidden/>
    <w:unhideWhenUsed/>
    <w:rsid w:val="00A6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4D"/>
    <w:rPr>
      <w:rFonts w:ascii="Segoe UI" w:hAnsi="Segoe UI" w:cs="Segoe UI"/>
      <w:sz w:val="18"/>
      <w:szCs w:val="18"/>
    </w:rPr>
  </w:style>
  <w:style w:type="character" w:styleId="Hyperlink">
    <w:name w:val="Hyperlink"/>
    <w:basedOn w:val="DefaultParagraphFont"/>
    <w:uiPriority w:val="99"/>
    <w:unhideWhenUsed/>
    <w:rsid w:val="00243E7C"/>
    <w:rPr>
      <w:color w:val="0563C1" w:themeColor="hyperlink"/>
      <w:u w:val="single"/>
    </w:rPr>
  </w:style>
  <w:style w:type="table" w:customStyle="1" w:styleId="PlainTable21">
    <w:name w:val="Plain Table 21"/>
    <w:basedOn w:val="TableNormal"/>
    <w:uiPriority w:val="42"/>
    <w:rsid w:val="006E19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B3371B"/>
    <w:pPr>
      <w:spacing w:after="0" w:line="240" w:lineRule="auto"/>
    </w:pPr>
  </w:style>
  <w:style w:type="character" w:styleId="CommentReference">
    <w:name w:val="annotation reference"/>
    <w:basedOn w:val="DefaultParagraphFont"/>
    <w:uiPriority w:val="99"/>
    <w:semiHidden/>
    <w:unhideWhenUsed/>
    <w:rsid w:val="00570688"/>
    <w:rPr>
      <w:sz w:val="16"/>
      <w:szCs w:val="16"/>
    </w:rPr>
  </w:style>
  <w:style w:type="paragraph" w:styleId="CommentText">
    <w:name w:val="annotation text"/>
    <w:basedOn w:val="Normal"/>
    <w:link w:val="CommentTextChar"/>
    <w:uiPriority w:val="99"/>
    <w:semiHidden/>
    <w:unhideWhenUsed/>
    <w:rsid w:val="00570688"/>
    <w:pPr>
      <w:spacing w:line="240" w:lineRule="auto"/>
    </w:pPr>
    <w:rPr>
      <w:sz w:val="20"/>
      <w:szCs w:val="20"/>
    </w:rPr>
  </w:style>
  <w:style w:type="character" w:customStyle="1" w:styleId="CommentTextChar">
    <w:name w:val="Comment Text Char"/>
    <w:basedOn w:val="DefaultParagraphFont"/>
    <w:link w:val="CommentText"/>
    <w:uiPriority w:val="99"/>
    <w:semiHidden/>
    <w:rsid w:val="00570688"/>
    <w:rPr>
      <w:sz w:val="20"/>
      <w:szCs w:val="20"/>
    </w:rPr>
  </w:style>
  <w:style w:type="paragraph" w:styleId="CommentSubject">
    <w:name w:val="annotation subject"/>
    <w:basedOn w:val="CommentText"/>
    <w:next w:val="CommentText"/>
    <w:link w:val="CommentSubjectChar"/>
    <w:uiPriority w:val="99"/>
    <w:semiHidden/>
    <w:unhideWhenUsed/>
    <w:rsid w:val="00570688"/>
    <w:rPr>
      <w:b/>
      <w:bCs/>
    </w:rPr>
  </w:style>
  <w:style w:type="character" w:customStyle="1" w:styleId="CommentSubjectChar">
    <w:name w:val="Comment Subject Char"/>
    <w:basedOn w:val="CommentTextChar"/>
    <w:link w:val="CommentSubject"/>
    <w:uiPriority w:val="99"/>
    <w:semiHidden/>
    <w:rsid w:val="00570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d.state.nm.us/programs/request-a-change-to-the-nmcc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DC71-704F-B144-BB85-6FBD5DAC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Noonen</dc:creator>
  <cp:lastModifiedBy>Daniel McLaughlin</cp:lastModifiedBy>
  <cp:revision>17</cp:revision>
  <cp:lastPrinted>2018-09-25T21:44:00Z</cp:lastPrinted>
  <dcterms:created xsi:type="dcterms:W3CDTF">2019-02-06T23:23:00Z</dcterms:created>
  <dcterms:modified xsi:type="dcterms:W3CDTF">2019-03-13T22:08:00Z</dcterms:modified>
</cp:coreProperties>
</file>