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030F2980" w:rsidR="00C804DE" w:rsidRPr="00C804DE" w:rsidRDefault="00C804DE" w:rsidP="00366889">
            <w:pPr>
              <w:spacing w:line="276" w:lineRule="auto"/>
            </w:pPr>
            <w:r>
              <w:t>Name of Institution</w:t>
            </w:r>
            <w:r w:rsidR="00366889">
              <w:t xml:space="preserve">  </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338900FC" w:rsidR="00C804DE" w:rsidRDefault="00366889" w:rsidP="00C443FD">
            <w:pPr>
              <w:spacing w:line="276" w:lineRule="auto"/>
              <w:rPr>
                <w:b/>
              </w:rPr>
            </w:pPr>
            <w:r>
              <w:t>Navajo Technical University, Department Arts &amp; Humanities</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26C33215" w:rsidR="00C804DE" w:rsidRPr="00C804DE" w:rsidRDefault="00C804DE" w:rsidP="00C443FD">
            <w:pPr>
              <w:spacing w:line="276" w:lineRule="auto"/>
            </w:pP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77777777" w:rsidR="00C804DE" w:rsidRDefault="00C804DE" w:rsidP="00C443FD">
            <w:pPr>
              <w:spacing w:line="276" w:lineRule="auto"/>
              <w:rPr>
                <w:b/>
              </w:rPr>
            </w:pPr>
          </w:p>
        </w:tc>
      </w:tr>
      <w:tr w:rsidR="00A8773B"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5CA1BA17" w:rsidR="00A8773B" w:rsidRPr="00C804DE" w:rsidRDefault="00A8773B" w:rsidP="00366889">
            <w:pPr>
              <w:spacing w:line="276" w:lineRule="auto"/>
            </w:pPr>
            <w:r>
              <w:t xml:space="preserve">Course Number, Title, Credits </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7BCB95FB" w:rsidR="00A8773B" w:rsidRDefault="00A8773B" w:rsidP="00C443FD">
            <w:pPr>
              <w:spacing w:line="276" w:lineRule="auto"/>
              <w:rPr>
                <w:b/>
              </w:rPr>
            </w:pPr>
            <w:r>
              <w:t>English 110; Composition; 3 credits</w:t>
            </w:r>
          </w:p>
        </w:tc>
      </w:tr>
      <w:tr w:rsidR="00A8773B"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A8773B" w:rsidRPr="00C804DE" w:rsidRDefault="00A8773B"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032462AA" w:rsidR="00A8773B" w:rsidRDefault="00A8773B" w:rsidP="00C443FD">
            <w:pPr>
              <w:spacing w:line="276" w:lineRule="auto"/>
              <w:rPr>
                <w:b/>
              </w:rPr>
            </w:pPr>
          </w:p>
        </w:tc>
      </w:tr>
      <w:tr w:rsidR="00A8773B" w14:paraId="27319368" w14:textId="77777777" w:rsidTr="00EE5748">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A8773B" w:rsidRDefault="00A8773B"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1D115D07" w:rsidR="00A8773B" w:rsidRPr="00EE5748" w:rsidRDefault="00A8773B" w:rsidP="00C443FD">
            <w:pPr>
              <w:spacing w:line="276" w:lineRule="auto"/>
            </w:pPr>
            <w:r w:rsidRPr="00EE5748">
              <w:t>No</w:t>
            </w:r>
          </w:p>
        </w:tc>
      </w:tr>
      <w:tr w:rsidR="00A8773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FBA2CC1" w:rsidR="00A8773B" w:rsidRDefault="00A8773B" w:rsidP="00366889">
            <w:pPr>
              <w:spacing w:line="276" w:lineRule="auto"/>
            </w:pPr>
            <w:r>
              <w:t xml:space="preserve">Name and Title of Contact Person </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5B029053" w:rsidR="00A8773B" w:rsidRDefault="00A8773B" w:rsidP="00C443FD">
            <w:pPr>
              <w:spacing w:line="276" w:lineRule="auto"/>
              <w:rPr>
                <w:b/>
              </w:rPr>
            </w:pPr>
            <w:r>
              <w:t xml:space="preserve">Anita </w:t>
            </w:r>
            <w:proofErr w:type="spellStart"/>
            <w:r>
              <w:t>Roastingear</w:t>
            </w:r>
            <w:proofErr w:type="spellEnd"/>
            <w:r>
              <w:t>, department chair</w:t>
            </w:r>
          </w:p>
        </w:tc>
      </w:tr>
      <w:tr w:rsidR="00A8773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A8773B" w:rsidRDefault="00A8773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6FF60A32" w:rsidR="00A8773B" w:rsidRPr="00661ED5" w:rsidRDefault="00A8773B" w:rsidP="00C443FD">
            <w:pPr>
              <w:spacing w:line="276" w:lineRule="auto"/>
            </w:pPr>
            <w:r w:rsidRPr="00661ED5">
              <w:t>aroastingear@navajotech.edu; 505 786 4131</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698E7437" w:rsidR="00C804DE" w:rsidRDefault="000A2942" w:rsidP="00C443FD">
      <w:pPr>
        <w:spacing w:after="0" w:line="276" w:lineRule="auto"/>
      </w:pPr>
      <w:proofErr w:type="gramStart"/>
      <w:r w:rsidRPr="002479E6">
        <w:rPr>
          <w:b/>
        </w:rPr>
        <w:t>X</w:t>
      </w:r>
      <w:r w:rsidR="00C804DE" w:rsidRPr="002479E6">
        <w:rPr>
          <w:b/>
        </w:rPr>
        <w:t xml:space="preserve"> </w:t>
      </w:r>
      <w:r w:rsidR="00C804DE">
        <w:rPr>
          <w:b/>
        </w:rPr>
        <w:t xml:space="preserve"> </w:t>
      </w:r>
      <w:r w:rsidR="00C804DE">
        <w:t>Yes</w:t>
      </w:r>
      <w:proofErr w:type="gramEnd"/>
      <w:r w:rsidR="00C804DE">
        <w:t xml:space="preserve">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575DAFB0" w:rsidR="00A66C36" w:rsidRDefault="000A2942" w:rsidP="00A66C36">
      <w:pPr>
        <w:spacing w:after="0" w:line="276" w:lineRule="auto"/>
      </w:pPr>
      <w:r w:rsidRPr="00661ED5">
        <w:rPr>
          <w:rFonts w:eastAsia="MS Gothic" w:cstheme="minorHAnsi"/>
          <w:b/>
        </w:rPr>
        <w:t>X</w:t>
      </w:r>
      <w:r w:rsidRPr="000A2942">
        <w:rPr>
          <w:rFonts w:ascii="MS Gothic" w:eastAsia="MS Gothic" w:hAnsi="MS Gothic"/>
          <w:b/>
        </w:rPr>
        <w:t xml:space="preserve"> </w:t>
      </w:r>
      <w:r w:rsidR="00A66C36">
        <w:t xml:space="preserve">AA/AS/BA/BS </w:t>
      </w:r>
      <w:r w:rsidR="00A66C36">
        <w:tab/>
      </w:r>
      <w:proofErr w:type="gramStart"/>
      <w:r w:rsidRPr="000A2942">
        <w:rPr>
          <w:b/>
        </w:rPr>
        <w:t>X</w:t>
      </w:r>
      <w:r w:rsidR="00A66C36" w:rsidRPr="000A2942">
        <w:rPr>
          <w:b/>
        </w:rPr>
        <w:t xml:space="preserve">  </w:t>
      </w:r>
      <w:r w:rsidR="00A66C36" w:rsidRPr="00661ED5">
        <w:t>AAS</w:t>
      </w:r>
      <w:proofErr w:type="gramEnd"/>
    </w:p>
    <w:p w14:paraId="4A13BD89" w14:textId="1F6C4960" w:rsidR="00C443FD" w:rsidRDefault="00A66C36" w:rsidP="00C443FD">
      <w:pPr>
        <w:spacing w:after="0" w:line="276" w:lineRule="auto"/>
        <w:rPr>
          <w:b/>
        </w:rPr>
      </w:pPr>
      <w:r>
        <w:tab/>
      </w:r>
    </w:p>
    <w:tbl>
      <w:tblPr>
        <w:tblStyle w:val="PlainTable21"/>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088D3DFA" w:rsidR="00C443FD" w:rsidRDefault="000A2942" w:rsidP="00C443FD">
      <w:pPr>
        <w:spacing w:after="0" w:line="276" w:lineRule="auto"/>
        <w:jc w:val="center"/>
        <w:rPr>
          <w:b/>
        </w:rPr>
      </w:pPr>
      <w:r>
        <w:rPr>
          <w:b/>
        </w:rPr>
        <w:t xml:space="preserve"> X</w:t>
      </w:r>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B41167"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6DEECE4D" w:rsidR="00BC5E06" w:rsidRDefault="000A2942" w:rsidP="00C443FD">
      <w:pPr>
        <w:spacing w:after="0" w:line="276" w:lineRule="auto"/>
        <w:jc w:val="center"/>
      </w:pPr>
      <w:r>
        <w:rPr>
          <w:b/>
        </w:rPr>
        <w:t xml:space="preserve">X </w:t>
      </w:r>
      <w:r w:rsidR="00BC5E06">
        <w:t>Communication</w:t>
      </w:r>
      <w:r w:rsidR="00C443FD">
        <w:tab/>
      </w:r>
      <w:r w:rsidR="00C443FD">
        <w:tab/>
      </w:r>
      <w:r w:rsidR="004C1FFC" w:rsidRPr="005D1D16">
        <w:rPr>
          <w:rFonts w:eastAsia="MS Gothic" w:cstheme="minorHAnsi"/>
          <w:b/>
        </w:rPr>
        <w:t>X</w:t>
      </w:r>
      <w:r w:rsidR="00AC18A6" w:rsidRPr="005D1D16">
        <w:rPr>
          <w:rFonts w:cstheme="minorHAnsi"/>
          <w:b/>
        </w:rPr>
        <w:t xml:space="preserve"> </w:t>
      </w:r>
      <w:r w:rsidR="00BC5E06">
        <w:t>Critical Thinking</w:t>
      </w:r>
      <w:r w:rsidR="00C443FD">
        <w:tab/>
      </w:r>
      <w:r w:rsidR="004C1FFC">
        <w:rPr>
          <w:b/>
        </w:rPr>
        <w:t>X</w:t>
      </w:r>
      <w:r w:rsidR="00AC18A6">
        <w:rPr>
          <w:b/>
        </w:rPr>
        <w:t xml:space="preserve"> </w:t>
      </w:r>
      <w:r w:rsidR="00BC5E06">
        <w:t>Information &amp; Digital Literacy</w:t>
      </w:r>
    </w:p>
    <w:p w14:paraId="0C847B8B" w14:textId="77777777" w:rsidR="00BC5E06" w:rsidRDefault="00B41167" w:rsidP="00C443FD">
      <w:pPr>
        <w:spacing w:after="0" w:line="276" w:lineRule="auto"/>
        <w:jc w:val="center"/>
      </w:pPr>
      <w:sdt>
        <w:sdtPr>
          <w:rPr>
            <w:b/>
          </w:rPr>
          <w:id w:val="2145388128"/>
          <w14:checkbox>
            <w14:checked w14:val="0"/>
            <w14:checkedState w14:val="2612" w14:font="MS Gothic"/>
            <w14:uncheckedState w14:val="2610" w14:font="MS Gothic"/>
          </w14:checkbox>
        </w:sdtPr>
        <w:sdtEndPr/>
        <w:sdtContent>
          <w:r w:rsidR="003A0D24">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1"/>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A2942">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7F82F8E4" w:rsidR="003263E1" w:rsidRDefault="00B41167" w:rsidP="00DC4C87">
            <w:pPr>
              <w:spacing w:line="276" w:lineRule="auto"/>
              <w:rPr>
                <w:b/>
              </w:rPr>
            </w:pPr>
            <w:sdt>
              <w:sdtPr>
                <w:rPr>
                  <w:bCs/>
                </w:rPr>
                <w:id w:val="1735663657"/>
                <w:text/>
              </w:sdtPr>
              <w:sdtEndPr/>
              <w:sdtContent>
                <w:r w:rsidR="00536D8A" w:rsidRPr="002A0164">
                  <w:rPr>
                    <w:bCs/>
                  </w:rPr>
                  <w:t>English 1113</w:t>
                </w:r>
              </w:sdtContent>
            </w:sdt>
          </w:p>
        </w:tc>
      </w:tr>
    </w:tbl>
    <w:p w14:paraId="1E685A17" w14:textId="77777777" w:rsidR="003263E1" w:rsidRDefault="003263E1" w:rsidP="00C443FD">
      <w:pPr>
        <w:spacing w:after="0" w:line="276" w:lineRule="auto"/>
        <w:rPr>
          <w:b/>
        </w:rPr>
      </w:pPr>
    </w:p>
    <w:p w14:paraId="7F662E3B" w14:textId="77777777" w:rsidR="00DC4C87" w:rsidRDefault="00DC4C87" w:rsidP="00C443FD">
      <w:pPr>
        <w:spacing w:after="0" w:line="276" w:lineRule="auto"/>
        <w:rPr>
          <w:b/>
        </w:rPr>
      </w:pPr>
    </w:p>
    <w:p w14:paraId="7848824E" w14:textId="77777777" w:rsidR="00DC4C87" w:rsidRDefault="00DC4C87">
      <w:pPr>
        <w:rPr>
          <w:b/>
        </w:rPr>
      </w:pPr>
      <w:r>
        <w:rPr>
          <w:b/>
        </w:rPr>
        <w:br w:type="page"/>
      </w:r>
    </w:p>
    <w:p w14:paraId="2454E326" w14:textId="0E0887A5" w:rsidR="003263E1" w:rsidRDefault="00C443FD" w:rsidP="00C443FD">
      <w:pPr>
        <w:spacing w:after="0" w:line="276" w:lineRule="auto"/>
        <w:rPr>
          <w:b/>
        </w:rPr>
      </w:pPr>
      <w:r>
        <w:rPr>
          <w:b/>
        </w:rPr>
        <w:lastRenderedPageBreak/>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id w:val="156352332"/>
            <w:text/>
          </w:sdtPr>
          <w:sdtEndPr/>
          <w:sdtContent>
            <w:tc>
              <w:tcPr>
                <w:tcW w:w="10795" w:type="dxa"/>
              </w:tcPr>
              <w:p w14:paraId="27062961" w14:textId="6B12D500" w:rsidR="00356CE7" w:rsidRDefault="00536D8A" w:rsidP="00DC4C87">
                <w:pPr>
                  <w:tabs>
                    <w:tab w:val="left" w:pos="9490"/>
                  </w:tabs>
                  <w:spacing w:line="276" w:lineRule="auto"/>
                  <w:rPr>
                    <w:b/>
                  </w:rPr>
                </w:pPr>
                <w:r w:rsidRPr="002A0164">
                  <w:t>1. Analyze communication through reading and writing skills.</w:t>
                </w:r>
                <w:r w:rsidR="002A0164">
                  <w:t xml:space="preserve"> </w:t>
                </w:r>
                <w:r w:rsidRPr="002A0164">
                  <w:t>2. Employ writing processes such as planning, organizing, composing, and revising. 3. Express a primary purpose and organize supporting points logically.</w:t>
                </w:r>
                <w:r w:rsidR="002A0164">
                  <w:t xml:space="preserve"> </w:t>
                </w:r>
                <w:r w:rsidRPr="002A0164">
                  <w:t>4. Use and document research evidence appropriate for college-level writing</w:t>
                </w:r>
                <w:r w:rsidR="002A0164">
                  <w:t xml:space="preserve">. </w:t>
                </w:r>
                <w:r w:rsidRPr="002A0164">
                  <w:t>5. Employ academic writing styles appropriate for different genres and audiences.6. Identify and correct grammatical and mechanical errors in their writing.</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DC4C87">
        <w:trPr>
          <w:trHeight w:val="404"/>
        </w:trPr>
        <w:tc>
          <w:tcPr>
            <w:tcW w:w="10795" w:type="dxa"/>
          </w:tcPr>
          <w:p w14:paraId="1E5F835F" w14:textId="77777777" w:rsidR="00356CE7" w:rsidRDefault="00356CE7" w:rsidP="000A2942">
            <w:pPr>
              <w:tabs>
                <w:tab w:val="left" w:pos="9490"/>
              </w:tabs>
              <w:spacing w:line="276" w:lineRule="auto"/>
              <w:rPr>
                <w:b/>
              </w:rPr>
            </w:pPr>
            <w:r>
              <w:rPr>
                <w:b/>
              </w:rPr>
              <w:t>Institution-specific Student Learning Outcomes</w:t>
            </w:r>
            <w:r>
              <w:rPr>
                <w:b/>
              </w:rPr>
              <w:tab/>
            </w:r>
          </w:p>
        </w:tc>
      </w:tr>
      <w:tr w:rsidR="00356CE7" w14:paraId="053ECB78" w14:textId="77777777" w:rsidTr="00DC4C87">
        <w:trPr>
          <w:trHeight w:val="260"/>
        </w:trPr>
        <w:sdt>
          <w:sdtPr>
            <w:id w:val="1033701898"/>
            <w:text/>
          </w:sdtPr>
          <w:sdtEndPr/>
          <w:sdtContent>
            <w:tc>
              <w:tcPr>
                <w:tcW w:w="10795" w:type="dxa"/>
              </w:tcPr>
              <w:p w14:paraId="105AC4DB" w14:textId="7E3D0B11" w:rsidR="00356CE7" w:rsidRDefault="002A0164" w:rsidP="00B859DA">
                <w:pPr>
                  <w:tabs>
                    <w:tab w:val="left" w:pos="9490"/>
                  </w:tabs>
                  <w:rPr>
                    <w:b/>
                  </w:rPr>
                </w:pPr>
                <w:r>
                  <w:t>NA</w:t>
                </w:r>
              </w:p>
            </w:tc>
          </w:sdtContent>
        </w:sdt>
      </w:tr>
    </w:tbl>
    <w:tbl>
      <w:tblPr>
        <w:tblStyle w:val="PlainTable21"/>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0A2942">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B41167" w:rsidP="00B3371B">
            <w:pPr>
              <w:spacing w:line="276" w:lineRule="auto"/>
              <w:rPr>
                <w:b/>
                <w:i/>
              </w:rPr>
            </w:pPr>
            <w:sdt>
              <w:sdtPr>
                <w:rPr>
                  <w:i/>
                </w:rPr>
                <w:id w:val="1402791977"/>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color w:val="000000" w:themeColor="text1"/>
            </w:rPr>
            <w:id w:val="-2134625620"/>
            <w:text w:multiLine="1"/>
          </w:sdtPr>
          <w:sdtEndPr/>
          <w:sdtContent>
            <w:tc>
              <w:tcPr>
                <w:tcW w:w="10795" w:type="dxa"/>
              </w:tcPr>
              <w:p w14:paraId="09FC084E" w14:textId="16A7DF68" w:rsidR="00C804DE" w:rsidRDefault="00536D8A" w:rsidP="00BF7B32">
                <w:pPr>
                  <w:rPr>
                    <w:b/>
                  </w:rPr>
                </w:pPr>
                <w:r>
                  <w:rPr>
                    <w:color w:val="000000" w:themeColor="text1"/>
                  </w:rPr>
                  <w:t>First of all, students participate in reading aloud in class, so that the skills of active reading are modeled in and for the class as a whole. Students also learn how genre expectations affect useful patterns of reading. They read a variety of texts during the course of the semester, and are regularly asked to compare different readings, paying attention to the rhetorical strategies of the writers, how each writer uses genre expectations to help convey her or his point, and how the particulars of word choice, voice, and other characteristics help convey those points in a powerful way. Students learn various strategies in learning how to understand and evaluate written texts, and also learn how to combine these strategies into ways of gathering ideas for their own writing. Specifically, we emphasize freewriting as a means of arriving at improved understanding; and we also focus on intensive rereading using best academic practices of looking up all unknown words, actively reading by carrying on a dialogue with each text, and through using underlining and note taking. Students are also encouraged to use a journal to help them understand their writing; and the combination of freewriting and writing in a journal help students begin to arrive at the kind of understanding that helps produce substantive, well-informed, and well</w:t>
                </w:r>
                <w:r w:rsidR="008D45DC">
                  <w:rPr>
                    <w:color w:val="000000" w:themeColor="text1"/>
                  </w:rPr>
                  <w:t>-</w:t>
                </w:r>
                <w:r>
                  <w:rPr>
                    <w:color w:val="000000" w:themeColor="text1"/>
                  </w:rPr>
                  <w:t xml:space="preserve">argued essays. </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B41167" w:rsidP="00B3371B">
            <w:pPr>
              <w:spacing w:line="276" w:lineRule="auto"/>
              <w:rPr>
                <w:b/>
                <w:i/>
              </w:rPr>
            </w:pPr>
            <w:sdt>
              <w:sdtPr>
                <w:rPr>
                  <w:i/>
                </w:rPr>
                <w:id w:val="582040169"/>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id w:val="1838351593"/>
            <w:text w:multiLine="1"/>
          </w:sdtPr>
          <w:sdtEndPr/>
          <w:sdtContent>
            <w:tc>
              <w:tcPr>
                <w:tcW w:w="10795" w:type="dxa"/>
              </w:tcPr>
              <w:p w14:paraId="62636E60" w14:textId="21ABDBDA" w:rsidR="00C804DE" w:rsidRDefault="00536D8A" w:rsidP="000B6153">
                <w:pPr>
                  <w:rPr>
                    <w:b/>
                  </w:rPr>
                </w:pPr>
                <w:r>
                  <w:t>English 110 provides its students with a strong background in critical thinking through requiring students to successfully argue for specific, clear, and adequately supported interpretations of assigned readings when they write about these readings. They learn this through learning how to ask appropriate questions about the readings. This asking of useful questions is modeled through class discussions, but also through well-chosen essay prompts and rubrics for evaluating student answers. In writing, students are invited and even required to argue for their specific interpretive position using well-chosen textual evidence, which they then introduce and interpret, and we specifically teach the threefold pattern of introduction, quotation, and interpretation. Through practicing and mastering this skill set, students learn to add their voices to the general interpretive community in a responsible, thoughtful way, while also revealing their critical thinking skills. Students also model the skills related to critical thinking by in-class discussions, both in small groups and in the class group as a whole. In general, the classroom is structured so that students feel welcome and even compelled to speak out. Finally, students learn how to analyze a text according to its logical claims, whether explicit or implicit, and learn to become aware of possible logical flaws in arguments.</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text w:multiLine="1"/>
          </w:sdtPr>
          <w:sdtEndPr/>
          <w:sdtContent>
            <w:tc>
              <w:tcPr>
                <w:tcW w:w="10795" w:type="dxa"/>
              </w:tcPr>
              <w:p w14:paraId="2D65B154" w14:textId="6C959B14" w:rsidR="00C804DE" w:rsidRDefault="00536D8A" w:rsidP="000A2942">
                <w:pPr>
                  <w:spacing w:line="276" w:lineRule="auto"/>
                  <w:rPr>
                    <w:b/>
                  </w:rPr>
                </w:pPr>
                <w:r w:rsidRPr="002A0164">
                  <w:t>Not applicable.</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0A2942">
        <w:sdt>
          <w:sdtPr>
            <w:rPr>
              <w:b/>
            </w:rPr>
            <w:id w:val="725500324"/>
            <w:text w:multiLine="1"/>
          </w:sdtPr>
          <w:sdtEndPr>
            <w:rPr>
              <w:b w:val="0"/>
            </w:rPr>
          </w:sdtEndPr>
          <w:sdtContent>
            <w:tc>
              <w:tcPr>
                <w:tcW w:w="10795" w:type="dxa"/>
              </w:tcPr>
              <w:p w14:paraId="0A6F695F" w14:textId="3401B4D1" w:rsidR="008252F6" w:rsidRDefault="00536D8A" w:rsidP="000A2942">
                <w:pPr>
                  <w:spacing w:line="276" w:lineRule="auto"/>
                  <w:rPr>
                    <w:b/>
                  </w:rPr>
                </w:pPr>
                <w:r>
                  <w:rPr>
                    <w:b/>
                  </w:rPr>
                  <w:t>Not applicable.</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0A2942">
        <w:tc>
          <w:tcPr>
            <w:tcW w:w="10795" w:type="dxa"/>
          </w:tcPr>
          <w:sdt>
            <w:sdtPr>
              <w:rPr>
                <w:i/>
              </w:rPr>
              <w:id w:val="-21789750"/>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0A2942">
        <w:sdt>
          <w:sdtPr>
            <w:id w:val="1077944695"/>
            <w:text w:multiLine="1"/>
          </w:sdtPr>
          <w:sdtEndPr/>
          <w:sdtContent>
            <w:tc>
              <w:tcPr>
                <w:tcW w:w="10795" w:type="dxa"/>
              </w:tcPr>
              <w:p w14:paraId="08E52FFE" w14:textId="2FF8B972" w:rsidR="008252F6" w:rsidRDefault="00536D8A" w:rsidP="000B6153">
                <w:pPr>
                  <w:rPr>
                    <w:b/>
                  </w:rPr>
                </w:pPr>
                <w:r>
                  <w:t xml:space="preserve">Students learn the responsible use of digital information, both to become better thinkers, but also to avoid plagiarism. The internet, which makes both thoughtless and planned plagiarism easy and relatively effortless, is something we strive to help students avoid. We achieve this through modeling web searches, and through noting how information can be misused as well as used responsibly, through citation and through the meeting academic norms. We also help students learn how to decide how valid information found on the internet is, using best practices on evaluating the quality of sources, modeling the questioning of digital sources in class, through having students work on judging selected sources on their own, and through having the university librarian make a presentation on how students can gain access to normative academic databases through the university library. </w:t>
                </w:r>
              </w:p>
            </w:tc>
          </w:sdtContent>
        </w:sdt>
      </w:tr>
    </w:tbl>
    <w:p w14:paraId="46A7301F" w14:textId="77777777" w:rsidR="008252F6" w:rsidRDefault="008252F6" w:rsidP="00C443FD">
      <w:pPr>
        <w:spacing w:after="0" w:line="276" w:lineRule="auto"/>
      </w:pPr>
    </w:p>
    <w:tbl>
      <w:tblPr>
        <w:tblStyle w:val="PlainTable21"/>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5BB943B3" w:rsidR="00C804DE" w:rsidRDefault="00B41167" w:rsidP="00C443FD">
      <w:pPr>
        <w:spacing w:after="0" w:line="276" w:lineRule="auto"/>
        <w:rPr>
          <w:b/>
          <w:bCs/>
        </w:rPr>
      </w:pPr>
      <w:sdt>
        <w:sdtPr>
          <w:rPr>
            <w:b/>
            <w:bCs/>
          </w:rPr>
          <w:id w:val="-1143498232"/>
          <w14:checkbox>
            <w14:checked w14:val="0"/>
            <w14:checkedState w14:val="2612" w14:font="MS Gothic"/>
            <w14:uncheckedState w14:val="2610" w14:font="MS Gothic"/>
          </w14:checkbox>
        </w:sdtPr>
        <w:sdtEndPr/>
        <w:sdtContent>
          <w:r w:rsidR="001F4977">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1F4977">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1"/>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0A2942">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690C85A8" w14:textId="77777777" w:rsidR="00735A34" w:rsidRDefault="006A2474" w:rsidP="006A2474">
      <w:pPr>
        <w:spacing w:line="276" w:lineRule="auto"/>
        <w:rPr>
          <w:b/>
          <w:bCs/>
        </w:rPr>
      </w:pPr>
      <w:r>
        <w:rPr>
          <w:b/>
          <w:bCs/>
        </w:rPr>
        <w:t xml:space="preserve">Link to Institution’s General Education Assessment Plan </w:t>
      </w:r>
    </w:p>
    <w:p w14:paraId="3B9A742F" w14:textId="600B5071" w:rsidR="00735A34" w:rsidRPr="00EF6409" w:rsidRDefault="009F1CBB" w:rsidP="009F1CBB">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from the course's skills rubric will be gathered from the last of the course's four writing 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2D19F5AA" w14:textId="77777777" w:rsidR="009F1CBB" w:rsidRPr="009F1CBB" w:rsidRDefault="009F1CBB" w:rsidP="009F1CBB">
      <w:pPr>
        <w:widowControl w:val="0"/>
        <w:autoSpaceDE w:val="0"/>
        <w:autoSpaceDN w:val="0"/>
        <w:adjustRightInd w:val="0"/>
        <w:spacing w:after="0" w:line="240" w:lineRule="auto"/>
        <w:rPr>
          <w:rFonts w:ascii="Calibri" w:hAnsi="Calibri" w:cs="Calibri"/>
        </w:rPr>
      </w:pPr>
    </w:p>
    <w:p w14:paraId="0A714ABC" w14:textId="77777777" w:rsidR="00B677DB" w:rsidRDefault="00B677DB" w:rsidP="00B677DB">
      <w:pPr>
        <w:rPr>
          <w:b/>
          <w:bCs/>
        </w:rPr>
      </w:pPr>
      <w:r>
        <w:rPr>
          <w:b/>
          <w:bCs/>
        </w:rPr>
        <w:t>This</w:t>
      </w:r>
      <w:r w:rsidRPr="00FD76FD">
        <w:rPr>
          <w:b/>
          <w:bCs/>
        </w:rPr>
        <w:t xml:space="preserve"> course meets institutional standards for general education.</w:t>
      </w:r>
    </w:p>
    <w:p w14:paraId="7F157CBC" w14:textId="77777777" w:rsidR="00735A34" w:rsidRDefault="00735A34" w:rsidP="00B677DB">
      <w:pPr>
        <w:spacing w:after="0"/>
        <w:rPr>
          <w:b/>
          <w:bCs/>
        </w:rPr>
      </w:pPr>
    </w:p>
    <w:p w14:paraId="148AB36F" w14:textId="77777777"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03C34B5D" w14:textId="25766A53" w:rsidR="00735A34" w:rsidRDefault="00B677DB" w:rsidP="00E12E18">
      <w:pPr>
        <w:tabs>
          <w:tab w:val="right" w:pos="720"/>
        </w:tabs>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w:t>
      </w:r>
      <w:r w:rsidR="00B65D69">
        <w:rPr>
          <w:bCs/>
        </w:rPr>
        <w:t>e</w:t>
      </w:r>
    </w:p>
    <w:p w14:paraId="1B9A9346" w14:textId="4F65DEDB" w:rsidR="00A504D3" w:rsidRDefault="00A504D3" w:rsidP="00A504D3">
      <w:pPr>
        <w:rPr>
          <w:bCs/>
        </w:rPr>
      </w:pPr>
    </w:p>
    <w:p w14:paraId="1410B6EE" w14:textId="77777777" w:rsidR="00A504D3" w:rsidRDefault="00A504D3" w:rsidP="00E12E18">
      <w:pPr>
        <w:tabs>
          <w:tab w:val="left" w:pos="360"/>
        </w:tabs>
        <w:rPr>
          <w:b/>
          <w:bCs/>
        </w:rPr>
      </w:pPr>
      <w:r w:rsidRPr="00A504D3">
        <w:rPr>
          <w:b/>
          <w:bCs/>
        </w:rPr>
        <w:t>HED Internal Use Only</w:t>
      </w:r>
    </w:p>
    <w:p w14:paraId="60467B69" w14:textId="77777777" w:rsidR="00B85196" w:rsidRDefault="00B85196" w:rsidP="00E12E18">
      <w:pPr>
        <w:tabs>
          <w:tab w:val="left" w:pos="360"/>
          <w:tab w:val="right" w:pos="6480"/>
        </w:tabs>
        <w:spacing w:after="0"/>
      </w:pPr>
      <w:r w:rsidRPr="00B85196">
        <w:rPr>
          <w:bCs/>
        </w:rPr>
        <w:t>Presented to NMCC on</w:t>
      </w:r>
      <w:r>
        <w:rPr>
          <w:b/>
          <w:bCs/>
        </w:rPr>
        <w:t xml:space="preserve"> </w:t>
      </w:r>
      <w:r>
        <w:t>______________________________</w:t>
      </w:r>
    </w:p>
    <w:p w14:paraId="0AF958C5" w14:textId="77777777" w:rsidR="00B85196" w:rsidRDefault="00B85196" w:rsidP="00E12E18">
      <w:pPr>
        <w:tabs>
          <w:tab w:val="left" w:pos="360"/>
          <w:tab w:val="right" w:pos="6480"/>
        </w:tabs>
        <w:rPr>
          <w:bCs/>
        </w:rPr>
      </w:pPr>
      <w:r w:rsidRPr="00A504D3">
        <w:rPr>
          <w:bCs/>
        </w:rPr>
        <w:t>Date</w:t>
      </w:r>
    </w:p>
    <w:p w14:paraId="1ACF2714" w14:textId="279A6726" w:rsidR="00A504D3" w:rsidRPr="00A504D3" w:rsidRDefault="00B41167" w:rsidP="0083550F">
      <w:pPr>
        <w:tabs>
          <w:tab w:val="left" w:pos="360"/>
          <w:tab w:val="left" w:pos="2880"/>
          <w:tab w:val="left" w:pos="3240"/>
          <w:tab w:val="right" w:pos="6480"/>
        </w:tabs>
        <w:rPr>
          <w:bCs/>
        </w:rPr>
      </w:pPr>
      <w:sdt>
        <w:sdtPr>
          <w:rPr>
            <w:b/>
            <w:bCs/>
          </w:rPr>
          <w:id w:val="-1775157010"/>
          <w14:checkbox>
            <w14:checked w14:val="0"/>
            <w14:checkedState w14:val="2612" w14:font="MS Gothic"/>
            <w14:uncheckedState w14:val="2610" w14:font="MS Gothic"/>
          </w14:checkbox>
        </w:sdtPr>
        <w:sdtEndPr/>
        <w:sdtContent>
          <w:r w:rsidR="0083550F">
            <w:rPr>
              <w:rFonts w:ascii="MS Gothic" w:eastAsia="MS Gothic" w:hAnsi="MS Gothic" w:hint="eastAsia"/>
              <w:b/>
              <w:bCs/>
            </w:rPr>
            <w:t>☐</w:t>
          </w:r>
        </w:sdtContent>
      </w:sdt>
      <w:r w:rsidR="0083550F">
        <w:rPr>
          <w:bCs/>
        </w:rPr>
        <w:tab/>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83550F">
            <w:rPr>
              <w:rFonts w:ascii="MS Gothic" w:eastAsia="MS Gothic" w:hAnsi="MS Gothic" w:hint="eastAsia"/>
              <w:bCs/>
            </w:rPr>
            <w:t>☐</w:t>
          </w:r>
        </w:sdtContent>
      </w:sdt>
      <w:r w:rsidR="0083550F">
        <w:rPr>
          <w:bCs/>
        </w:rPr>
        <w:tab/>
        <w:t>Denied</w:t>
      </w:r>
      <w:r w:rsidR="00A504D3" w:rsidRPr="00A504D3">
        <w:rPr>
          <w:bCs/>
        </w:rPr>
        <w:tab/>
      </w:r>
      <w:r w:rsidR="00A504D3" w:rsidRPr="00A504D3">
        <w:rPr>
          <w:bCs/>
        </w:rPr>
        <w:tab/>
      </w:r>
    </w:p>
    <w:p w14:paraId="5D572A0D" w14:textId="6973D513" w:rsidR="00A504D3" w:rsidRPr="0083550F" w:rsidRDefault="00A504D3" w:rsidP="00E12E18">
      <w:pPr>
        <w:tabs>
          <w:tab w:val="left" w:pos="360"/>
          <w:tab w:val="right" w:pos="6480"/>
        </w:tabs>
        <w:rPr>
          <w:bCs/>
        </w:rPr>
      </w:pPr>
      <w:r w:rsidRPr="00A504D3">
        <w:rPr>
          <w:bCs/>
        </w:rPr>
        <w:t xml:space="preserve">If </w:t>
      </w:r>
      <w:r w:rsidR="00C2528E">
        <w:rPr>
          <w:bCs/>
        </w:rPr>
        <w:t>denied</w:t>
      </w:r>
      <w:r w:rsidRPr="00A504D3">
        <w:rPr>
          <w:bCs/>
        </w:rPr>
        <w:t>, rationale:</w:t>
      </w:r>
    </w:p>
    <w:p w14:paraId="1D86E19B" w14:textId="4D509F0A" w:rsidR="00A504D3" w:rsidRDefault="00A504D3" w:rsidP="0083550F">
      <w:pPr>
        <w:tabs>
          <w:tab w:val="left" w:pos="360"/>
          <w:tab w:val="left" w:pos="6480"/>
        </w:tabs>
        <w:spacing w:after="0"/>
        <w:rPr>
          <w:bCs/>
        </w:rPr>
      </w:pPr>
      <w:r>
        <w:rPr>
          <w:bCs/>
        </w:rPr>
        <w:t>Institution Notified on _________________________________</w:t>
      </w:r>
      <w:r w:rsidR="0083550F">
        <w:rPr>
          <w:bCs/>
        </w:rPr>
        <w:tab/>
        <w:t>Date</w:t>
      </w:r>
    </w:p>
    <w:p w14:paraId="67087888" w14:textId="4AD9C852" w:rsidR="00735A34" w:rsidRDefault="00735A34">
      <w:pPr>
        <w:rPr>
          <w:bCs/>
        </w:rPr>
      </w:pPr>
    </w:p>
    <w:p w14:paraId="6DBF02A8" w14:textId="77777777" w:rsidR="0083550F" w:rsidRDefault="0083550F" w:rsidP="00906270">
      <w:pPr>
        <w:tabs>
          <w:tab w:val="left" w:pos="360"/>
          <w:tab w:val="left" w:pos="450"/>
        </w:tabs>
        <w:rPr>
          <w:rFonts w:cstheme="minorHAnsi"/>
          <w:b/>
          <w:sz w:val="20"/>
          <w:szCs w:val="20"/>
        </w:rPr>
      </w:pPr>
    </w:p>
    <w:p w14:paraId="4FA77F75" w14:textId="77777777" w:rsidR="0083550F" w:rsidRDefault="0083550F" w:rsidP="00906270">
      <w:pPr>
        <w:tabs>
          <w:tab w:val="left" w:pos="360"/>
          <w:tab w:val="left" w:pos="450"/>
        </w:tabs>
        <w:rPr>
          <w:rFonts w:cstheme="minorHAnsi"/>
          <w:b/>
          <w:sz w:val="20"/>
          <w:szCs w:val="20"/>
        </w:rPr>
      </w:pPr>
    </w:p>
    <w:p w14:paraId="5B3F4B6A" w14:textId="53D5E463" w:rsidR="00735A34" w:rsidRPr="0083550F" w:rsidRDefault="00735A34" w:rsidP="00906270">
      <w:pPr>
        <w:tabs>
          <w:tab w:val="left" w:pos="360"/>
          <w:tab w:val="left" w:pos="450"/>
        </w:tabs>
        <w:rPr>
          <w:rFonts w:ascii="Calibri" w:hAnsi="Calibri" w:cs="Calibri"/>
          <w:b/>
        </w:rPr>
      </w:pPr>
      <w:r w:rsidRPr="0083550F">
        <w:rPr>
          <w:rFonts w:ascii="Calibri" w:hAnsi="Calibri" w:cs="Calibri"/>
          <w:b/>
        </w:rPr>
        <w:lastRenderedPageBreak/>
        <w:t xml:space="preserve">E. </w:t>
      </w:r>
      <w:r w:rsidRPr="0083550F">
        <w:rPr>
          <w:rFonts w:ascii="Calibri" w:hAnsi="Calibri" w:cs="Calibri"/>
          <w:b/>
        </w:rPr>
        <w:tab/>
        <w:t>Sample assessment: Essay Writing Assignment-with-Rubric</w:t>
      </w:r>
    </w:p>
    <w:p w14:paraId="11126280" w14:textId="433E3788" w:rsidR="00735A34" w:rsidRPr="0083550F" w:rsidRDefault="00735A34" w:rsidP="00735A34">
      <w:pPr>
        <w:rPr>
          <w:rFonts w:ascii="Calibri" w:hAnsi="Calibri" w:cs="Calibri"/>
          <w:b/>
        </w:rPr>
      </w:pPr>
      <w:r w:rsidRPr="0083550F">
        <w:rPr>
          <w:rFonts w:ascii="Calibri" w:hAnsi="Calibri" w:cs="Calibri"/>
          <w:b/>
        </w:rPr>
        <w:t>Assignment steps</w:t>
      </w:r>
    </w:p>
    <w:p w14:paraId="09598A5E" w14:textId="4AC674A5"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Ensure that you are addressing the assignment topic.</w:t>
      </w:r>
      <w:r w:rsidR="00AE161D" w:rsidRPr="0083550F">
        <w:rPr>
          <w:rFonts w:ascii="Calibri" w:hAnsi="Calibri" w:cs="Calibri"/>
          <w:sz w:val="22"/>
          <w:szCs w:val="22"/>
        </w:rPr>
        <w:t xml:space="preserve"> </w:t>
      </w:r>
    </w:p>
    <w:p w14:paraId="4B1DDEA9" w14:textId="1830380F"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Start early so you can write several drafts.</w:t>
      </w:r>
      <w:r w:rsidR="00D45A3C" w:rsidRPr="0083550F">
        <w:rPr>
          <w:rFonts w:ascii="Calibri" w:hAnsi="Calibri" w:cs="Calibri"/>
          <w:sz w:val="22"/>
          <w:szCs w:val="22"/>
        </w:rPr>
        <w:t xml:space="preserve"> </w:t>
      </w:r>
    </w:p>
    <w:p w14:paraId="53F3E12B" w14:textId="092E2823"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Develop an outline with thesis statement and topic sentences. Ensure that elements of the outline address the assignment topic</w:t>
      </w:r>
      <w:r w:rsidR="00AE161D" w:rsidRPr="0083550F">
        <w:rPr>
          <w:rFonts w:ascii="Calibri" w:hAnsi="Calibri" w:cs="Calibri"/>
          <w:sz w:val="22"/>
          <w:szCs w:val="22"/>
        </w:rPr>
        <w:t>.</w:t>
      </w:r>
    </w:p>
    <w:p w14:paraId="4E121E6A"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Write a first draft. Word process the draft.</w:t>
      </w:r>
    </w:p>
    <w:p w14:paraId="2825A2A6" w14:textId="3A75C50B"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Have at least one other person read and react to your essay.</w:t>
      </w:r>
      <w:r w:rsidR="00AE161D" w:rsidRPr="0083550F">
        <w:rPr>
          <w:rFonts w:ascii="Calibri" w:hAnsi="Calibri" w:cs="Calibri"/>
          <w:sz w:val="22"/>
          <w:szCs w:val="22"/>
        </w:rPr>
        <w:t xml:space="preserve"> </w:t>
      </w:r>
    </w:p>
    <w:p w14:paraId="46DD817D"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Revise the first draft incorporating your reader's feedback. Create a second draft.</w:t>
      </w:r>
    </w:p>
    <w:p w14:paraId="3ABD6151"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Repeat steps 5 and 6 as desired and needed.</w:t>
      </w:r>
    </w:p>
    <w:p w14:paraId="0E4B3027" w14:textId="1F83A3D0"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Create a final essay. Develop a cover page with title and author</w:t>
      </w:r>
      <w:r w:rsidR="00D45A3C" w:rsidRPr="0083550F">
        <w:rPr>
          <w:rFonts w:ascii="Calibri" w:hAnsi="Calibri" w:cs="Calibri"/>
          <w:sz w:val="22"/>
          <w:szCs w:val="22"/>
        </w:rPr>
        <w:t xml:space="preserve"> information. Format the cover page and all other pages appropriately</w:t>
      </w:r>
      <w:r w:rsidRPr="0083550F">
        <w:rPr>
          <w:rFonts w:ascii="Calibri" w:hAnsi="Calibri" w:cs="Calibri"/>
          <w:sz w:val="22"/>
          <w:szCs w:val="22"/>
        </w:rPr>
        <w:t>. En</w:t>
      </w:r>
      <w:r w:rsidR="00D45A3C" w:rsidRPr="0083550F">
        <w:rPr>
          <w:rFonts w:ascii="Calibri" w:hAnsi="Calibri" w:cs="Calibri"/>
          <w:sz w:val="22"/>
          <w:szCs w:val="22"/>
        </w:rPr>
        <w:t>sure that</w:t>
      </w:r>
      <w:r w:rsidRPr="0083550F">
        <w:rPr>
          <w:rFonts w:ascii="Calibri" w:hAnsi="Calibri" w:cs="Calibri"/>
          <w:sz w:val="22"/>
          <w:szCs w:val="22"/>
        </w:rPr>
        <w:t xml:space="preserve"> all citations are properly formatted.</w:t>
      </w:r>
    </w:p>
    <w:p w14:paraId="787A6F4C" w14:textId="0542EB38" w:rsidR="00A0234D" w:rsidRPr="00A0234D"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 xml:space="preserve">Submit the essay </w:t>
      </w:r>
      <w:r w:rsidR="00D45A3C" w:rsidRPr="0083550F">
        <w:rPr>
          <w:rFonts w:ascii="Calibri" w:hAnsi="Calibri" w:cs="Calibri"/>
          <w:sz w:val="22"/>
          <w:szCs w:val="22"/>
        </w:rPr>
        <w:t>on the due date, during class</w:t>
      </w:r>
      <w:r w:rsidRPr="0083550F">
        <w:rPr>
          <w:rFonts w:ascii="Calibri" w:hAnsi="Calibri" w:cs="Calibri"/>
          <w:sz w:val="22"/>
          <w:szCs w:val="22"/>
        </w:rPr>
        <w:t>.</w:t>
      </w:r>
    </w:p>
    <w:p w14:paraId="700F7A12" w14:textId="77777777" w:rsidR="00A0234D" w:rsidRDefault="00A0234D" w:rsidP="00ED14C2">
      <w:pPr>
        <w:spacing w:after="0" w:line="240" w:lineRule="auto"/>
        <w:rPr>
          <w:rFonts w:ascii="Calibri" w:hAnsi="Calibri" w:cs="Calibri"/>
          <w:b/>
        </w:rPr>
      </w:pPr>
    </w:p>
    <w:p w14:paraId="5BE46924" w14:textId="562884D2" w:rsidR="00735A34" w:rsidRDefault="00735A34" w:rsidP="00ED14C2">
      <w:pPr>
        <w:spacing w:after="0" w:line="240" w:lineRule="auto"/>
        <w:rPr>
          <w:rFonts w:ascii="Calibri" w:hAnsi="Calibri" w:cs="Calibri"/>
          <w:b/>
        </w:rPr>
      </w:pPr>
      <w:r w:rsidRPr="0083550F">
        <w:rPr>
          <w:rFonts w:ascii="Calibri" w:hAnsi="Calibri" w:cs="Calibri"/>
          <w:b/>
        </w:rPr>
        <w:t>Rubric</w:t>
      </w:r>
    </w:p>
    <w:p w14:paraId="6B7C4A8C" w14:textId="77777777" w:rsidR="00ED14C2" w:rsidRPr="0083550F" w:rsidRDefault="00ED14C2" w:rsidP="00ED14C2">
      <w:pPr>
        <w:spacing w:after="0" w:line="240" w:lineRule="auto"/>
        <w:rPr>
          <w:rFonts w:ascii="Calibri" w:hAnsi="Calibri" w:cs="Calibri"/>
          <w:b/>
        </w:rPr>
      </w:pPr>
    </w:p>
    <w:p w14:paraId="447E4471" w14:textId="67D18F02" w:rsidR="00735A34" w:rsidRPr="0083550F" w:rsidRDefault="00735A34" w:rsidP="0083550F">
      <w:pPr>
        <w:tabs>
          <w:tab w:val="left" w:pos="4320"/>
          <w:tab w:val="left" w:pos="8100"/>
        </w:tabs>
        <w:rPr>
          <w:rFonts w:ascii="Calibri" w:hAnsi="Calibri" w:cs="Calibri"/>
        </w:rPr>
      </w:pPr>
      <w:r w:rsidRPr="0083550F">
        <w:rPr>
          <w:rFonts w:ascii="Calibri" w:hAnsi="Calibri" w:cs="Calibri"/>
        </w:rPr>
        <w:t>Student:</w:t>
      </w:r>
      <w:r w:rsidRPr="0083550F">
        <w:rPr>
          <w:rFonts w:ascii="Calibri" w:hAnsi="Calibri" w:cs="Calibri"/>
        </w:rPr>
        <w:tab/>
        <w:t>Assignment:</w:t>
      </w:r>
      <w:r w:rsidRPr="0083550F">
        <w:rPr>
          <w:rFonts w:ascii="Calibri" w:hAnsi="Calibri" w:cs="Calibri"/>
        </w:rPr>
        <w:tab/>
        <w:t>Date:</w:t>
      </w:r>
    </w:p>
    <w:tbl>
      <w:tblPr>
        <w:tblStyle w:val="TableGrid"/>
        <w:tblW w:w="10885" w:type="dxa"/>
        <w:tblLayout w:type="fixed"/>
        <w:tblLook w:val="04A0" w:firstRow="1" w:lastRow="0" w:firstColumn="1" w:lastColumn="0" w:noHBand="0" w:noVBand="1"/>
      </w:tblPr>
      <w:tblGrid>
        <w:gridCol w:w="1525"/>
        <w:gridCol w:w="2400"/>
        <w:gridCol w:w="2400"/>
        <w:gridCol w:w="2400"/>
        <w:gridCol w:w="2160"/>
      </w:tblGrid>
      <w:tr w:rsidR="00735A34" w:rsidRPr="00E12E18" w14:paraId="31D65E18" w14:textId="77777777" w:rsidTr="00E12E18">
        <w:tc>
          <w:tcPr>
            <w:tcW w:w="1525" w:type="dxa"/>
            <w:shd w:val="pct12" w:color="auto" w:fill="auto"/>
            <w:vAlign w:val="center"/>
          </w:tcPr>
          <w:p w14:paraId="3B146F1B" w14:textId="77777777" w:rsidR="00735A34" w:rsidRPr="00E12E18" w:rsidRDefault="00735A34" w:rsidP="00735A34">
            <w:pPr>
              <w:rPr>
                <w:rFonts w:cstheme="minorHAnsi"/>
                <w:sz w:val="18"/>
                <w:szCs w:val="18"/>
              </w:rPr>
            </w:pPr>
            <w:r w:rsidRPr="00E12E18">
              <w:rPr>
                <w:rFonts w:cstheme="minorHAnsi"/>
                <w:sz w:val="18"/>
                <w:szCs w:val="18"/>
              </w:rPr>
              <w:t>Criteria</w:t>
            </w:r>
          </w:p>
        </w:tc>
        <w:tc>
          <w:tcPr>
            <w:tcW w:w="2400" w:type="dxa"/>
            <w:shd w:val="pct12" w:color="auto" w:fill="auto"/>
            <w:vAlign w:val="center"/>
          </w:tcPr>
          <w:p w14:paraId="19F7204C" w14:textId="77777777" w:rsidR="00735A34" w:rsidRPr="00E12E18" w:rsidRDefault="00735A34" w:rsidP="00735A34">
            <w:pPr>
              <w:jc w:val="center"/>
              <w:rPr>
                <w:rFonts w:cstheme="minorHAnsi"/>
                <w:sz w:val="18"/>
                <w:szCs w:val="18"/>
              </w:rPr>
            </w:pPr>
            <w:r w:rsidRPr="00E12E18">
              <w:rPr>
                <w:rFonts w:cstheme="minorHAnsi"/>
                <w:sz w:val="18"/>
                <w:szCs w:val="18"/>
              </w:rPr>
              <w:t>Emerging (1)</w:t>
            </w:r>
          </w:p>
        </w:tc>
        <w:tc>
          <w:tcPr>
            <w:tcW w:w="2400" w:type="dxa"/>
            <w:shd w:val="pct12" w:color="auto" w:fill="auto"/>
            <w:vAlign w:val="center"/>
          </w:tcPr>
          <w:p w14:paraId="389ED402" w14:textId="77777777" w:rsidR="00735A34" w:rsidRPr="00E12E18" w:rsidRDefault="00735A34" w:rsidP="00735A34">
            <w:pPr>
              <w:jc w:val="center"/>
              <w:rPr>
                <w:rFonts w:cstheme="minorHAnsi"/>
                <w:sz w:val="18"/>
                <w:szCs w:val="18"/>
              </w:rPr>
            </w:pPr>
            <w:r w:rsidRPr="00E12E18">
              <w:rPr>
                <w:rFonts w:cstheme="minorHAnsi"/>
                <w:sz w:val="18"/>
                <w:szCs w:val="18"/>
              </w:rPr>
              <w:t>Developing (2)</w:t>
            </w:r>
          </w:p>
        </w:tc>
        <w:tc>
          <w:tcPr>
            <w:tcW w:w="2400" w:type="dxa"/>
            <w:shd w:val="pct12" w:color="auto" w:fill="auto"/>
            <w:vAlign w:val="center"/>
          </w:tcPr>
          <w:p w14:paraId="403826BF" w14:textId="77777777" w:rsidR="00735A34" w:rsidRPr="00E12E18" w:rsidRDefault="00735A34" w:rsidP="00735A34">
            <w:pPr>
              <w:jc w:val="center"/>
              <w:rPr>
                <w:rFonts w:cstheme="minorHAnsi"/>
                <w:sz w:val="18"/>
                <w:szCs w:val="18"/>
              </w:rPr>
            </w:pPr>
            <w:r w:rsidRPr="00E12E18">
              <w:rPr>
                <w:rFonts w:cstheme="minorHAnsi"/>
                <w:sz w:val="18"/>
                <w:szCs w:val="18"/>
              </w:rPr>
              <w:t>Proficient (3)</w:t>
            </w:r>
          </w:p>
        </w:tc>
        <w:tc>
          <w:tcPr>
            <w:tcW w:w="2160" w:type="dxa"/>
            <w:shd w:val="pct12" w:color="auto" w:fill="auto"/>
          </w:tcPr>
          <w:p w14:paraId="453334F1" w14:textId="77777777" w:rsidR="00735A34" w:rsidRPr="00E12E18" w:rsidRDefault="00735A34" w:rsidP="00735A34">
            <w:pPr>
              <w:jc w:val="center"/>
              <w:rPr>
                <w:rFonts w:cstheme="minorHAnsi"/>
                <w:sz w:val="18"/>
                <w:szCs w:val="18"/>
              </w:rPr>
            </w:pPr>
            <w:r w:rsidRPr="00E12E18">
              <w:rPr>
                <w:rFonts w:cstheme="minorHAnsi"/>
                <w:sz w:val="18"/>
                <w:szCs w:val="18"/>
              </w:rPr>
              <w:t xml:space="preserve">Scores &amp; </w:t>
            </w:r>
          </w:p>
          <w:p w14:paraId="5882ED4C" w14:textId="77777777" w:rsidR="00735A34" w:rsidRPr="00E12E18" w:rsidRDefault="00735A34" w:rsidP="00735A34">
            <w:pPr>
              <w:jc w:val="center"/>
              <w:rPr>
                <w:rFonts w:cstheme="minorHAnsi"/>
                <w:sz w:val="18"/>
                <w:szCs w:val="18"/>
              </w:rPr>
            </w:pPr>
            <w:r w:rsidRPr="00E12E18">
              <w:rPr>
                <w:rFonts w:cstheme="minorHAnsi"/>
                <w:sz w:val="18"/>
                <w:szCs w:val="18"/>
              </w:rPr>
              <w:t>comments</w:t>
            </w:r>
          </w:p>
        </w:tc>
      </w:tr>
      <w:tr w:rsidR="00735A34" w:rsidRPr="00E12E18" w14:paraId="4802793B" w14:textId="77777777" w:rsidTr="00E12E18">
        <w:tc>
          <w:tcPr>
            <w:tcW w:w="1525" w:type="dxa"/>
          </w:tcPr>
          <w:p w14:paraId="07E47E43" w14:textId="77777777" w:rsidR="00735A34" w:rsidRPr="00E12E18" w:rsidRDefault="00735A34" w:rsidP="00735A34">
            <w:pPr>
              <w:rPr>
                <w:rFonts w:cstheme="minorHAnsi"/>
                <w:sz w:val="18"/>
                <w:szCs w:val="18"/>
              </w:rPr>
            </w:pPr>
            <w:r w:rsidRPr="00E12E18">
              <w:rPr>
                <w:rFonts w:cstheme="minorHAnsi"/>
                <w:sz w:val="18"/>
                <w:szCs w:val="18"/>
              </w:rPr>
              <w:t>Ideas</w:t>
            </w:r>
          </w:p>
        </w:tc>
        <w:tc>
          <w:tcPr>
            <w:tcW w:w="2400" w:type="dxa"/>
          </w:tcPr>
          <w:p w14:paraId="63CC8503"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inadequate command of course materials or contains significant factual and conceptual errors; it does not directly answer the question or may confuse some significant ideas.</w:t>
            </w:r>
          </w:p>
        </w:tc>
        <w:tc>
          <w:tcPr>
            <w:tcW w:w="2400" w:type="dxa"/>
          </w:tcPr>
          <w:p w14:paraId="3817B88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some understanding of the basic ideas and information involved in the assignment; but may contain some factual, interpretive, or conceptual errors.</w:t>
            </w:r>
          </w:p>
        </w:tc>
        <w:tc>
          <w:tcPr>
            <w:tcW w:w="2400" w:type="dxa"/>
          </w:tcPr>
          <w:p w14:paraId="010EF73A"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offers a powerful analysis and argument, and shows an understanding of interpretive and conceptual tasks required by assignment. Its ideas show insight, and go beyond the class discussions.</w:t>
            </w:r>
          </w:p>
        </w:tc>
        <w:tc>
          <w:tcPr>
            <w:tcW w:w="2160" w:type="dxa"/>
          </w:tcPr>
          <w:p w14:paraId="362F19ED" w14:textId="77777777" w:rsidR="00735A34" w:rsidRPr="00E12E18" w:rsidRDefault="00735A34" w:rsidP="00735A34">
            <w:pPr>
              <w:rPr>
                <w:rFonts w:cstheme="minorHAnsi"/>
                <w:sz w:val="20"/>
                <w:szCs w:val="20"/>
              </w:rPr>
            </w:pPr>
          </w:p>
        </w:tc>
      </w:tr>
      <w:tr w:rsidR="00735A34" w:rsidRPr="00E12E18" w14:paraId="50104B58" w14:textId="77777777" w:rsidTr="00E12E18">
        <w:tc>
          <w:tcPr>
            <w:tcW w:w="1525" w:type="dxa"/>
          </w:tcPr>
          <w:p w14:paraId="21F1B376" w14:textId="77777777" w:rsidR="00735A34" w:rsidRPr="00E12E18" w:rsidRDefault="00735A34" w:rsidP="00735A34">
            <w:pPr>
              <w:rPr>
                <w:rFonts w:cstheme="minorHAnsi"/>
                <w:sz w:val="18"/>
                <w:szCs w:val="18"/>
              </w:rPr>
            </w:pPr>
            <w:r w:rsidRPr="00E12E18">
              <w:rPr>
                <w:rFonts w:cstheme="minorHAnsi"/>
                <w:sz w:val="18"/>
                <w:szCs w:val="18"/>
              </w:rPr>
              <w:t>Thesis</w:t>
            </w:r>
          </w:p>
        </w:tc>
        <w:tc>
          <w:tcPr>
            <w:tcW w:w="2400" w:type="dxa"/>
          </w:tcPr>
          <w:p w14:paraId="507E865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Essay has a thesis that is vague or not central to argument; the central terms are not defined clearly.</w:t>
            </w:r>
          </w:p>
        </w:tc>
        <w:tc>
          <w:tcPr>
            <w:tcW w:w="2400" w:type="dxa"/>
          </w:tcPr>
          <w:p w14:paraId="20F49498"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has general thesis or controlling idea, but this thesis does not contain sufficient ideas to structure the complete essay.</w:t>
            </w:r>
          </w:p>
        </w:tc>
        <w:tc>
          <w:tcPr>
            <w:tcW w:w="2400" w:type="dxa"/>
          </w:tcPr>
          <w:p w14:paraId="61F54EA7" w14:textId="6AFC44C4"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 xml:space="preserve">The essay </w:t>
            </w:r>
            <w:r w:rsidR="009A392E">
              <w:rPr>
                <w:rFonts w:cstheme="minorHAnsi"/>
                <w:color w:val="000000"/>
                <w:sz w:val="16"/>
                <w:szCs w:val="16"/>
              </w:rPr>
              <w:t xml:space="preserve">is </w:t>
            </w:r>
            <w:r w:rsidRPr="00132F01">
              <w:rPr>
                <w:rFonts w:cstheme="minorHAnsi"/>
                <w:color w:val="000000"/>
                <w:sz w:val="16"/>
                <w:szCs w:val="16"/>
              </w:rPr>
              <w:t>controlled by clear, precise, well-defined thesis: is sophisticated in both statement and insight</w:t>
            </w:r>
          </w:p>
        </w:tc>
        <w:tc>
          <w:tcPr>
            <w:tcW w:w="2160" w:type="dxa"/>
          </w:tcPr>
          <w:p w14:paraId="1AD748CB" w14:textId="77777777" w:rsidR="00735A34" w:rsidRPr="00E12E18" w:rsidRDefault="00735A34" w:rsidP="00735A34">
            <w:pPr>
              <w:rPr>
                <w:rFonts w:cstheme="minorHAnsi"/>
                <w:sz w:val="20"/>
                <w:szCs w:val="20"/>
              </w:rPr>
            </w:pPr>
          </w:p>
        </w:tc>
      </w:tr>
      <w:tr w:rsidR="00735A34" w:rsidRPr="00E12E18" w14:paraId="155A954F" w14:textId="77777777" w:rsidTr="00E12E18">
        <w:tc>
          <w:tcPr>
            <w:tcW w:w="1525" w:type="dxa"/>
          </w:tcPr>
          <w:p w14:paraId="1C274045" w14:textId="77777777" w:rsidR="00735A34" w:rsidRPr="00E12E18" w:rsidRDefault="00735A34" w:rsidP="00735A34">
            <w:pPr>
              <w:rPr>
                <w:rFonts w:cstheme="minorHAnsi"/>
                <w:sz w:val="18"/>
                <w:szCs w:val="18"/>
              </w:rPr>
            </w:pPr>
            <w:r w:rsidRPr="00E12E18">
              <w:rPr>
                <w:rFonts w:cstheme="minorHAnsi"/>
                <w:sz w:val="18"/>
                <w:szCs w:val="18"/>
              </w:rPr>
              <w:t>Development and support</w:t>
            </w:r>
          </w:p>
        </w:tc>
        <w:tc>
          <w:tcPr>
            <w:tcW w:w="2400" w:type="dxa"/>
          </w:tcPr>
          <w:p w14:paraId="28D94D9E"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frequently only narrates or summarizes and digresses from one topic to another without developing ideas or terms; it makes minimal or no use of textual evidence.</w:t>
            </w:r>
          </w:p>
        </w:tc>
        <w:tc>
          <w:tcPr>
            <w:tcW w:w="2400" w:type="dxa"/>
          </w:tcPr>
          <w:p w14:paraId="338362DE" w14:textId="77777777" w:rsidR="00735A34" w:rsidRPr="00132F01" w:rsidRDefault="00735A34" w:rsidP="00735A34">
            <w:pPr>
              <w:ind w:hanging="20"/>
              <w:rPr>
                <w:rFonts w:cstheme="minorHAnsi"/>
                <w:sz w:val="16"/>
                <w:szCs w:val="16"/>
              </w:rPr>
            </w:pPr>
            <w:r w:rsidRPr="00132F01">
              <w:rPr>
                <w:rFonts w:cstheme="minorHAnsi"/>
                <w:color w:val="000000"/>
                <w:sz w:val="16"/>
                <w:szCs w:val="16"/>
              </w:rPr>
              <w:t>The essay only partially develops its argument and shows sh</w:t>
            </w:r>
            <w:r w:rsidRPr="00132F01">
              <w:rPr>
                <w:rStyle w:val="chart1"/>
                <w:rFonts w:cstheme="minorHAnsi"/>
                <w:color w:val="000000"/>
                <w:sz w:val="16"/>
                <w:szCs w:val="16"/>
              </w:rPr>
              <w:t>a</w:t>
            </w:r>
            <w:r w:rsidRPr="00132F01">
              <w:rPr>
                <w:rFonts w:cstheme="minorHAnsi"/>
                <w:color w:val="000000"/>
                <w:sz w:val="16"/>
                <w:szCs w:val="16"/>
              </w:rPr>
              <w:t>llow analysis. It does not fully develop ideas, and makes limited use of textual evidence. It fails to integrate quotations and supporting evidence.</w:t>
            </w:r>
          </w:p>
        </w:tc>
        <w:tc>
          <w:tcPr>
            <w:tcW w:w="2400" w:type="dxa"/>
          </w:tcPr>
          <w:p w14:paraId="5274A88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gives well-chosen examples and uses persuasive reasoning to support its thesis consistently. It uses quotations and citations effectively; and makes clear causal connections between ideas.</w:t>
            </w:r>
          </w:p>
        </w:tc>
        <w:tc>
          <w:tcPr>
            <w:tcW w:w="2160" w:type="dxa"/>
          </w:tcPr>
          <w:p w14:paraId="607220A0" w14:textId="77777777" w:rsidR="00735A34" w:rsidRPr="00E12E18" w:rsidRDefault="00735A34" w:rsidP="00735A34">
            <w:pPr>
              <w:rPr>
                <w:rFonts w:cstheme="minorHAnsi"/>
                <w:sz w:val="20"/>
                <w:szCs w:val="20"/>
              </w:rPr>
            </w:pPr>
          </w:p>
        </w:tc>
      </w:tr>
      <w:tr w:rsidR="00735A34" w:rsidRPr="00E12E18" w14:paraId="4646101A" w14:textId="77777777" w:rsidTr="00E12E18">
        <w:tc>
          <w:tcPr>
            <w:tcW w:w="1525" w:type="dxa"/>
            <w:tcBorders>
              <w:bottom w:val="single" w:sz="4" w:space="0" w:color="auto"/>
            </w:tcBorders>
          </w:tcPr>
          <w:p w14:paraId="4F1EC2DA" w14:textId="77777777" w:rsidR="00735A34" w:rsidRPr="00E12E18" w:rsidRDefault="00735A34" w:rsidP="00735A34">
            <w:pPr>
              <w:rPr>
                <w:rFonts w:cstheme="minorHAnsi"/>
                <w:sz w:val="18"/>
                <w:szCs w:val="18"/>
              </w:rPr>
            </w:pPr>
            <w:r w:rsidRPr="00E12E18">
              <w:rPr>
                <w:rFonts w:cstheme="minorHAnsi"/>
                <w:sz w:val="18"/>
                <w:szCs w:val="18"/>
              </w:rPr>
              <w:t>Structure</w:t>
            </w:r>
          </w:p>
        </w:tc>
        <w:tc>
          <w:tcPr>
            <w:tcW w:w="2400" w:type="dxa"/>
            <w:tcBorders>
              <w:bottom w:val="single" w:sz="4" w:space="0" w:color="auto"/>
            </w:tcBorders>
          </w:tcPr>
          <w:p w14:paraId="6A260626" w14:textId="77777777" w:rsidR="00735A34" w:rsidRPr="00132F01" w:rsidRDefault="00735A34" w:rsidP="00735A34">
            <w:pPr>
              <w:rPr>
                <w:rFonts w:cstheme="minorHAnsi"/>
                <w:sz w:val="16"/>
                <w:szCs w:val="16"/>
              </w:rPr>
            </w:pPr>
            <w:r w:rsidRPr="00132F01">
              <w:rPr>
                <w:rFonts w:cstheme="minorHAnsi"/>
                <w:color w:val="000000"/>
                <w:sz w:val="16"/>
                <w:szCs w:val="16"/>
              </w:rPr>
              <w:t>The essay is simplistic, tends to narrate or summarize; it wanders from one topic to another, in an illogical arrangement of ideas.</w:t>
            </w:r>
          </w:p>
        </w:tc>
        <w:tc>
          <w:tcPr>
            <w:tcW w:w="2400" w:type="dxa"/>
            <w:tcBorders>
              <w:bottom w:val="single" w:sz="4" w:space="0" w:color="auto"/>
            </w:tcBorders>
          </w:tcPr>
          <w:p w14:paraId="4FC6E1A8"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some awkward transitions; some brief, weakly unified or undeveloped paragraphs; the overall arrangement may not appear entirely natural, and may contains extraneous information.</w:t>
            </w:r>
          </w:p>
        </w:tc>
        <w:tc>
          <w:tcPr>
            <w:tcW w:w="2400" w:type="dxa"/>
            <w:tcBorders>
              <w:bottom w:val="single" w:sz="4" w:space="0" w:color="auto"/>
            </w:tcBorders>
          </w:tcPr>
          <w:p w14:paraId="1BCBBB8E"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uses appropriate, clear and smooth transitions and the arrangement of paragraphs helps the reader fully understand its ideas, which are fully developed.</w:t>
            </w:r>
          </w:p>
        </w:tc>
        <w:tc>
          <w:tcPr>
            <w:tcW w:w="2160" w:type="dxa"/>
            <w:tcBorders>
              <w:bottom w:val="single" w:sz="4" w:space="0" w:color="auto"/>
            </w:tcBorders>
          </w:tcPr>
          <w:p w14:paraId="71E70209" w14:textId="77777777" w:rsidR="00735A34" w:rsidRPr="00E12E18" w:rsidRDefault="00735A34" w:rsidP="00735A34">
            <w:pPr>
              <w:rPr>
                <w:rFonts w:cstheme="minorHAnsi"/>
                <w:sz w:val="20"/>
                <w:szCs w:val="20"/>
              </w:rPr>
            </w:pPr>
          </w:p>
        </w:tc>
      </w:tr>
      <w:tr w:rsidR="00735A34" w:rsidRPr="00E12E18" w14:paraId="7080FDEC" w14:textId="77777777" w:rsidTr="00E12E18">
        <w:trPr>
          <w:trHeight w:val="90"/>
        </w:trPr>
        <w:tc>
          <w:tcPr>
            <w:tcW w:w="1525" w:type="dxa"/>
            <w:shd w:val="clear" w:color="auto" w:fill="auto"/>
          </w:tcPr>
          <w:p w14:paraId="08E4809A" w14:textId="77777777" w:rsidR="00735A34" w:rsidRPr="00E12E18" w:rsidRDefault="00735A34" w:rsidP="00735A34">
            <w:pPr>
              <w:rPr>
                <w:rFonts w:cstheme="minorHAnsi"/>
                <w:sz w:val="18"/>
                <w:szCs w:val="18"/>
              </w:rPr>
            </w:pPr>
            <w:r w:rsidRPr="00E12E18">
              <w:rPr>
                <w:rFonts w:cstheme="minorHAnsi"/>
                <w:sz w:val="18"/>
                <w:szCs w:val="18"/>
              </w:rPr>
              <w:t>Conventions</w:t>
            </w:r>
          </w:p>
        </w:tc>
        <w:tc>
          <w:tcPr>
            <w:tcW w:w="2400" w:type="dxa"/>
            <w:shd w:val="clear" w:color="auto" w:fill="auto"/>
          </w:tcPr>
          <w:p w14:paraId="41264E8A"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major grammatical or proofreading errors (subject-verb agreement; sentence fragments); spelling errors; there are frequent unclear sentences.</w:t>
            </w:r>
          </w:p>
        </w:tc>
        <w:tc>
          <w:tcPr>
            <w:tcW w:w="2400" w:type="dxa"/>
            <w:shd w:val="clear" w:color="auto" w:fill="auto"/>
          </w:tcPr>
          <w:p w14:paraId="759FDF9E" w14:textId="77777777" w:rsidR="00735A34" w:rsidRPr="00132F01" w:rsidRDefault="00735A34" w:rsidP="00735A34">
            <w:pPr>
              <w:autoSpaceDE w:val="0"/>
              <w:autoSpaceDN w:val="0"/>
              <w:adjustRightInd w:val="0"/>
              <w:rPr>
                <w:rFonts w:cstheme="minorHAnsi"/>
                <w:sz w:val="16"/>
                <w:szCs w:val="16"/>
              </w:rPr>
            </w:pPr>
            <w:r w:rsidRPr="00132F01">
              <w:rPr>
                <w:rFonts w:cstheme="minorHAnsi"/>
                <w:sz w:val="16"/>
                <w:szCs w:val="16"/>
              </w:rPr>
              <w:t>The essay shows frequent wordiness and several unclear, awkward sentences along with an imprecise use of words or over-reliance on passive voice; one or two major grammatical errors (subject-verb agreement, comma splices, etc.); it reveals an effort to present quotations accurately.</w:t>
            </w:r>
          </w:p>
        </w:tc>
        <w:tc>
          <w:tcPr>
            <w:tcW w:w="2400" w:type="dxa"/>
            <w:shd w:val="clear" w:color="auto" w:fill="auto"/>
          </w:tcPr>
          <w:p w14:paraId="1152A849" w14:textId="77777777" w:rsidR="00735A34" w:rsidRPr="00132F01" w:rsidRDefault="00735A34" w:rsidP="00735A34">
            <w:pPr>
              <w:autoSpaceDE w:val="0"/>
              <w:autoSpaceDN w:val="0"/>
              <w:adjustRightInd w:val="0"/>
              <w:rPr>
                <w:rFonts w:cstheme="minorHAnsi"/>
                <w:sz w:val="16"/>
                <w:szCs w:val="16"/>
              </w:rPr>
            </w:pPr>
            <w:r w:rsidRPr="00132F01">
              <w:rPr>
                <w:rFonts w:cstheme="minorHAnsi"/>
                <w:sz w:val="16"/>
                <w:szCs w:val="16"/>
              </w:rPr>
              <w:t>The essay uses sophisticated sentences effectively; it chooses words well and observes conventions of written English and manuscript format. It makes few minor or technical errors.</w:t>
            </w:r>
          </w:p>
        </w:tc>
        <w:tc>
          <w:tcPr>
            <w:tcW w:w="2160" w:type="dxa"/>
            <w:shd w:val="clear" w:color="auto" w:fill="auto"/>
          </w:tcPr>
          <w:p w14:paraId="2B0EC3F9" w14:textId="77777777" w:rsidR="00735A34" w:rsidRPr="00E12E18" w:rsidRDefault="00735A34" w:rsidP="00735A34">
            <w:pPr>
              <w:rPr>
                <w:rFonts w:cstheme="minorHAnsi"/>
                <w:sz w:val="20"/>
                <w:szCs w:val="20"/>
              </w:rPr>
            </w:pPr>
          </w:p>
        </w:tc>
      </w:tr>
      <w:tr w:rsidR="00735A34" w:rsidRPr="00E12E18" w14:paraId="38B885C7" w14:textId="77777777" w:rsidTr="00E12E18">
        <w:tc>
          <w:tcPr>
            <w:tcW w:w="8725" w:type="dxa"/>
            <w:gridSpan w:val="4"/>
          </w:tcPr>
          <w:p w14:paraId="1F9A381A" w14:textId="77777777" w:rsidR="00735A34" w:rsidRPr="00E12E18" w:rsidRDefault="00735A34" w:rsidP="00735A34">
            <w:pPr>
              <w:rPr>
                <w:rFonts w:cstheme="minorHAnsi"/>
                <w:sz w:val="18"/>
                <w:szCs w:val="18"/>
              </w:rPr>
            </w:pPr>
            <w:r w:rsidRPr="00E12E18">
              <w:rPr>
                <w:rFonts w:cstheme="minorHAnsi"/>
                <w:sz w:val="18"/>
                <w:szCs w:val="18"/>
              </w:rPr>
              <w:t>Overall comments</w:t>
            </w:r>
          </w:p>
          <w:p w14:paraId="7A67108A" w14:textId="77777777" w:rsidR="00735A34" w:rsidRPr="00E12E18" w:rsidRDefault="00735A34" w:rsidP="00735A34">
            <w:pPr>
              <w:rPr>
                <w:rFonts w:cstheme="minorHAnsi"/>
                <w:sz w:val="18"/>
                <w:szCs w:val="18"/>
              </w:rPr>
            </w:pPr>
          </w:p>
          <w:p w14:paraId="5EF268D4" w14:textId="77777777" w:rsidR="00735A34" w:rsidRPr="00E12E18" w:rsidRDefault="00735A34" w:rsidP="00735A34">
            <w:pPr>
              <w:rPr>
                <w:rFonts w:cstheme="minorHAnsi"/>
                <w:sz w:val="18"/>
                <w:szCs w:val="18"/>
              </w:rPr>
            </w:pPr>
          </w:p>
        </w:tc>
        <w:tc>
          <w:tcPr>
            <w:tcW w:w="2160" w:type="dxa"/>
          </w:tcPr>
          <w:p w14:paraId="14AC8009" w14:textId="77777777" w:rsidR="00735A34" w:rsidRPr="00E12E18" w:rsidRDefault="00735A34" w:rsidP="00735A34">
            <w:pPr>
              <w:rPr>
                <w:rFonts w:cstheme="minorHAnsi"/>
                <w:sz w:val="18"/>
                <w:szCs w:val="18"/>
              </w:rPr>
            </w:pPr>
            <w:r w:rsidRPr="00E12E18">
              <w:rPr>
                <w:rFonts w:cstheme="minorHAnsi"/>
                <w:sz w:val="18"/>
                <w:szCs w:val="18"/>
              </w:rPr>
              <w:t>Reader</w:t>
            </w:r>
          </w:p>
        </w:tc>
      </w:tr>
    </w:tbl>
    <w:p w14:paraId="19F0F917" w14:textId="77777777" w:rsidR="00735A34" w:rsidRPr="00E12E18" w:rsidRDefault="00735A34" w:rsidP="00735A34">
      <w:pPr>
        <w:jc w:val="center"/>
        <w:rPr>
          <w:rFonts w:cstheme="minorHAnsi"/>
        </w:rPr>
      </w:pPr>
      <w:r w:rsidRPr="00E12E18">
        <w:rPr>
          <w:rFonts w:cstheme="minorHAnsi"/>
          <w:sz w:val="18"/>
          <w:szCs w:val="18"/>
        </w:rPr>
        <w:t>A=15-14; B=13-12; C=11-10; D=9-8; F=7 or less</w:t>
      </w:r>
    </w:p>
    <w:p w14:paraId="09484755" w14:textId="77777777" w:rsidR="00243E7C" w:rsidRPr="006A562D" w:rsidRDefault="00243E7C" w:rsidP="006A562D">
      <w:pPr>
        <w:rPr>
          <w:bCs/>
        </w:rPr>
      </w:pPr>
    </w:p>
    <w:sectPr w:rsidR="00243E7C"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E203" w14:textId="77777777" w:rsidR="00B41167" w:rsidRDefault="00B41167" w:rsidP="00B677DB">
      <w:pPr>
        <w:spacing w:after="0" w:line="240" w:lineRule="auto"/>
      </w:pPr>
      <w:r>
        <w:separator/>
      </w:r>
    </w:p>
  </w:endnote>
  <w:endnote w:type="continuationSeparator" w:id="0">
    <w:p w14:paraId="56F28802" w14:textId="77777777" w:rsidR="00B41167" w:rsidRDefault="00B41167"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1522" w14:textId="77777777" w:rsidR="00B41167" w:rsidRDefault="00B41167" w:rsidP="00B677DB">
      <w:pPr>
        <w:spacing w:after="0" w:line="240" w:lineRule="auto"/>
      </w:pPr>
      <w:r>
        <w:separator/>
      </w:r>
    </w:p>
  </w:footnote>
  <w:footnote w:type="continuationSeparator" w:id="0">
    <w:p w14:paraId="76589181" w14:textId="77777777" w:rsidR="00B41167" w:rsidRDefault="00B41167"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735A34" w:rsidRPr="00BC2873" w:rsidRDefault="00735A34"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735A34" w:rsidRDefault="00735A34"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735A34" w:rsidRDefault="00735A34" w:rsidP="00B677DB">
    <w:pPr>
      <w:spacing w:after="0"/>
      <w:rPr>
        <w:rFonts w:cs="Calibri"/>
        <w:smallCaps/>
      </w:rPr>
    </w:pPr>
  </w:p>
  <w:p w14:paraId="7F743BC3" w14:textId="77777777" w:rsidR="00735A34" w:rsidRDefault="00735A34" w:rsidP="00B677DB">
    <w:pPr>
      <w:spacing w:after="0"/>
      <w:rPr>
        <w:rFonts w:cs="Calibri"/>
        <w:smallCaps/>
      </w:rPr>
    </w:pPr>
  </w:p>
  <w:p w14:paraId="29259E74" w14:textId="77777777" w:rsidR="00735A34" w:rsidRDefault="00735A34"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Pr>
        <w:rFonts w:cs="Calibri"/>
        <w:smallCaps/>
      </w:rPr>
      <w:tab/>
      <w:t xml:space="preserve">Dr. Barbara </w:t>
    </w:r>
    <w:proofErr w:type="spellStart"/>
    <w:r>
      <w:rPr>
        <w:rFonts w:cs="Calibri"/>
        <w:smallCaps/>
      </w:rPr>
      <w:t>Damron</w:t>
    </w:r>
    <w:proofErr w:type="spellEnd"/>
    <w:r w:rsidRPr="001A293C">
      <w:rPr>
        <w:rFonts w:cs="Calibri"/>
        <w:i/>
        <w:smallCaps/>
      </w:rPr>
      <w:t xml:space="preserve"> </w:t>
    </w:r>
  </w:p>
  <w:p w14:paraId="233C904C" w14:textId="77777777" w:rsidR="00735A34" w:rsidRDefault="00735A34"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735A34" w:rsidRDefault="00735A34" w:rsidP="00B677DB">
    <w:pPr>
      <w:pStyle w:val="Header"/>
      <w:jc w:val="center"/>
      <w:rPr>
        <w:b/>
      </w:rPr>
    </w:pPr>
  </w:p>
  <w:p w14:paraId="5C616BC0" w14:textId="77777777" w:rsidR="00735A34" w:rsidRDefault="00735A34" w:rsidP="00B677DB">
    <w:pPr>
      <w:pStyle w:val="Header"/>
      <w:jc w:val="center"/>
      <w:rPr>
        <w:b/>
      </w:rPr>
    </w:pPr>
  </w:p>
  <w:p w14:paraId="206F8DA7" w14:textId="77777777" w:rsidR="00735A34" w:rsidRDefault="00735A34"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F13997"/>
    <w:multiLevelType w:val="hybridMultilevel"/>
    <w:tmpl w:val="04C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DE"/>
    <w:rsid w:val="00017576"/>
    <w:rsid w:val="00052913"/>
    <w:rsid w:val="000A2942"/>
    <w:rsid w:val="000B6153"/>
    <w:rsid w:val="001147D1"/>
    <w:rsid w:val="00132F01"/>
    <w:rsid w:val="00174FC2"/>
    <w:rsid w:val="001933B7"/>
    <w:rsid w:val="001D0E81"/>
    <w:rsid w:val="001E1F9A"/>
    <w:rsid w:val="001F4977"/>
    <w:rsid w:val="00204E7B"/>
    <w:rsid w:val="00235D31"/>
    <w:rsid w:val="00243E7C"/>
    <w:rsid w:val="002479E6"/>
    <w:rsid w:val="00250535"/>
    <w:rsid w:val="002A0164"/>
    <w:rsid w:val="003263E1"/>
    <w:rsid w:val="0034437E"/>
    <w:rsid w:val="00354C6B"/>
    <w:rsid w:val="00356CE7"/>
    <w:rsid w:val="00366889"/>
    <w:rsid w:val="00367581"/>
    <w:rsid w:val="003A01A3"/>
    <w:rsid w:val="003A0D24"/>
    <w:rsid w:val="00420B6F"/>
    <w:rsid w:val="004563C4"/>
    <w:rsid w:val="00462343"/>
    <w:rsid w:val="00487F71"/>
    <w:rsid w:val="004C1FFC"/>
    <w:rsid w:val="004D5A55"/>
    <w:rsid w:val="00535EEE"/>
    <w:rsid w:val="00536D8A"/>
    <w:rsid w:val="00570688"/>
    <w:rsid w:val="005D1D16"/>
    <w:rsid w:val="00640919"/>
    <w:rsid w:val="00661ED5"/>
    <w:rsid w:val="006A2474"/>
    <w:rsid w:val="006A298E"/>
    <w:rsid w:val="006A562D"/>
    <w:rsid w:val="006E1954"/>
    <w:rsid w:val="006F4C18"/>
    <w:rsid w:val="00710975"/>
    <w:rsid w:val="00735A34"/>
    <w:rsid w:val="007754C2"/>
    <w:rsid w:val="007C152D"/>
    <w:rsid w:val="007E21F1"/>
    <w:rsid w:val="008252F6"/>
    <w:rsid w:val="0083550F"/>
    <w:rsid w:val="008D45DC"/>
    <w:rsid w:val="008F0486"/>
    <w:rsid w:val="008F63B4"/>
    <w:rsid w:val="00906270"/>
    <w:rsid w:val="00926B45"/>
    <w:rsid w:val="00927ADF"/>
    <w:rsid w:val="0093617F"/>
    <w:rsid w:val="00936A17"/>
    <w:rsid w:val="009A392E"/>
    <w:rsid w:val="009A777F"/>
    <w:rsid w:val="009B75B6"/>
    <w:rsid w:val="009C5E7D"/>
    <w:rsid w:val="009F1CBB"/>
    <w:rsid w:val="00A0234D"/>
    <w:rsid w:val="00A504D3"/>
    <w:rsid w:val="00A5217A"/>
    <w:rsid w:val="00A55326"/>
    <w:rsid w:val="00A61272"/>
    <w:rsid w:val="00A61E4D"/>
    <w:rsid w:val="00A66C36"/>
    <w:rsid w:val="00A8773B"/>
    <w:rsid w:val="00AC18A6"/>
    <w:rsid w:val="00AE161D"/>
    <w:rsid w:val="00B05B2A"/>
    <w:rsid w:val="00B3371B"/>
    <w:rsid w:val="00B41167"/>
    <w:rsid w:val="00B65D69"/>
    <w:rsid w:val="00B6776D"/>
    <w:rsid w:val="00B677DB"/>
    <w:rsid w:val="00B85196"/>
    <w:rsid w:val="00B859DA"/>
    <w:rsid w:val="00BA0B62"/>
    <w:rsid w:val="00BC5E06"/>
    <w:rsid w:val="00BF7B32"/>
    <w:rsid w:val="00C2528E"/>
    <w:rsid w:val="00C252EA"/>
    <w:rsid w:val="00C443FD"/>
    <w:rsid w:val="00C6483D"/>
    <w:rsid w:val="00C7551C"/>
    <w:rsid w:val="00C804DE"/>
    <w:rsid w:val="00CE49E1"/>
    <w:rsid w:val="00D162B5"/>
    <w:rsid w:val="00D45A3C"/>
    <w:rsid w:val="00D77F50"/>
    <w:rsid w:val="00D80C77"/>
    <w:rsid w:val="00DB0C04"/>
    <w:rsid w:val="00DC4C87"/>
    <w:rsid w:val="00DF2A0C"/>
    <w:rsid w:val="00E12E18"/>
    <w:rsid w:val="00EA0014"/>
    <w:rsid w:val="00ED14C2"/>
    <w:rsid w:val="00EE5748"/>
    <w:rsid w:val="00EF6409"/>
    <w:rsid w:val="00FE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B2675"/>
  <w15:docId w15:val="{55DB0D37-D6F5-D649-9BA1-16047CBC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customStyle="1" w:styleId="PlainTable21">
    <w:name w:val="Plain Table 21"/>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 w:type="character" w:styleId="FollowedHyperlink">
    <w:name w:val="FollowedHyperlink"/>
    <w:basedOn w:val="DefaultParagraphFont"/>
    <w:uiPriority w:val="99"/>
    <w:semiHidden/>
    <w:unhideWhenUsed/>
    <w:rsid w:val="00DC4C87"/>
    <w:rPr>
      <w:color w:val="954F72" w:themeColor="followedHyperlink"/>
      <w:u w:val="single"/>
    </w:rPr>
  </w:style>
  <w:style w:type="character" w:customStyle="1" w:styleId="chart1">
    <w:name w:val="chart1"/>
    <w:rsid w:val="0073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7B23-73F7-674D-A658-18F7C846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32</cp:revision>
  <cp:lastPrinted>2019-01-25T14:56:00Z</cp:lastPrinted>
  <dcterms:created xsi:type="dcterms:W3CDTF">2019-01-23T18:16:00Z</dcterms:created>
  <dcterms:modified xsi:type="dcterms:W3CDTF">2019-05-09T21:11:00Z</dcterms:modified>
</cp:coreProperties>
</file>